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9A22"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725B6F4E" wp14:editId="38CA0A0F">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94EC" w14:textId="54B99666"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DD1843">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D309B9">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B6F4E"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42F594EC" w14:textId="54B99666"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DD1843">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D309B9">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F024B2" w:rsidRPr="00791B67" w14:paraId="47EB9835"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4667F5CC" w14:textId="77777777" w:rsidR="002D7188" w:rsidRPr="00791B67"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1D4D7F15" w14:textId="77777777" w:rsidR="002D7188" w:rsidRPr="00791B67" w:rsidRDefault="002D7188"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411118A7" w14:textId="5CEA231A" w:rsidR="002D7188" w:rsidRPr="00791B67" w:rsidRDefault="00AD7F87"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標準</w:t>
            </w:r>
            <w:r w:rsidR="000B73DA">
              <w:rPr>
                <w:rFonts w:asciiTheme="majorHAnsi" w:eastAsia="ＭＳ Ｐゴシック" w:hAnsiTheme="majorHAnsi" w:cstheme="majorHAnsi" w:hint="eastAsia"/>
                <w:b/>
                <w:szCs w:val="21"/>
              </w:rPr>
              <w:t>品</w:t>
            </w:r>
          </w:p>
        </w:tc>
      </w:tr>
      <w:tr w:rsidR="00486E67" w:rsidRPr="00791B67" w14:paraId="08C4C15C"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343B056B" w14:textId="77777777" w:rsidR="00486E67" w:rsidRPr="00791B67" w:rsidRDefault="00486E67" w:rsidP="00486E67">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574B9D61" w14:textId="77777777" w:rsidR="00486E67" w:rsidRPr="000B6F85" w:rsidRDefault="00486E67" w:rsidP="00486E67">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sz w:val="20"/>
                <w:szCs w:val="20"/>
              </w:rPr>
              <w:t>株式会社ビオメディクス</w:t>
            </w:r>
          </w:p>
        </w:tc>
        <w:tc>
          <w:tcPr>
            <w:tcW w:w="4615" w:type="dxa"/>
            <w:tcBorders>
              <w:top w:val="double" w:sz="4" w:space="0" w:color="auto"/>
              <w:left w:val="single" w:sz="4" w:space="0" w:color="auto"/>
              <w:right w:val="single" w:sz="12" w:space="0" w:color="000000"/>
            </w:tcBorders>
            <w:vAlign w:val="center"/>
          </w:tcPr>
          <w:p w14:paraId="0AE18555" w14:textId="77777777" w:rsidR="00486E67" w:rsidRPr="000B6F85" w:rsidRDefault="00486E67" w:rsidP="00486E67">
            <w:pPr>
              <w:jc w:val="center"/>
              <w:rPr>
                <w:rFonts w:asciiTheme="majorHAnsi" w:eastAsia="ＭＳ Ｐゴシック" w:hAnsiTheme="majorHAnsi" w:cstheme="majorHAnsi"/>
                <w:sz w:val="20"/>
                <w:szCs w:val="20"/>
              </w:rPr>
            </w:pPr>
          </w:p>
        </w:tc>
      </w:tr>
      <w:tr w:rsidR="00EE1A07" w:rsidRPr="00791B67" w14:paraId="5FB72A55" w14:textId="77777777" w:rsidTr="00AF1FB4">
        <w:trPr>
          <w:trHeight w:val="567"/>
        </w:trPr>
        <w:tc>
          <w:tcPr>
            <w:tcW w:w="1134" w:type="dxa"/>
            <w:tcBorders>
              <w:left w:val="single" w:sz="12" w:space="0" w:color="000000"/>
              <w:right w:val="single" w:sz="12" w:space="0" w:color="000000"/>
            </w:tcBorders>
            <w:vAlign w:val="center"/>
          </w:tcPr>
          <w:p w14:paraId="7F3A91BA" w14:textId="77777777" w:rsidR="00EE1A07" w:rsidRPr="00791B67" w:rsidRDefault="00EE1A07" w:rsidP="00EE1A07">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製品名</w:t>
            </w:r>
          </w:p>
        </w:tc>
        <w:tc>
          <w:tcPr>
            <w:tcW w:w="4614" w:type="dxa"/>
            <w:tcBorders>
              <w:left w:val="single" w:sz="12" w:space="0" w:color="000000"/>
              <w:right w:val="single" w:sz="4" w:space="0" w:color="auto"/>
            </w:tcBorders>
            <w:vAlign w:val="center"/>
          </w:tcPr>
          <w:p w14:paraId="5B151A73" w14:textId="2AAE6D21" w:rsidR="00EE1A07" w:rsidRPr="000B6F85" w:rsidRDefault="00721A6D" w:rsidP="000B73DA">
            <w:pPr>
              <w:ind w:leftChars="-7" w:left="-1" w:hangingChars="7" w:hanging="14"/>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20mg</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BMD</w:t>
            </w:r>
            <w:r w:rsidRPr="000B6F85">
              <w:rPr>
                <w:rFonts w:asciiTheme="majorHAnsi" w:eastAsia="ＭＳ Ｐゴシック" w:hAnsiTheme="majorHAnsi" w:cstheme="majorHAnsi" w:hint="eastAsia"/>
                <w:sz w:val="20"/>
                <w:szCs w:val="20"/>
              </w:rPr>
              <w:t>」</w:t>
            </w:r>
          </w:p>
        </w:tc>
        <w:tc>
          <w:tcPr>
            <w:tcW w:w="4615" w:type="dxa"/>
            <w:tcBorders>
              <w:left w:val="single" w:sz="4" w:space="0" w:color="auto"/>
              <w:right w:val="single" w:sz="12" w:space="0" w:color="000000"/>
            </w:tcBorders>
            <w:shd w:val="clear" w:color="auto" w:fill="auto"/>
            <w:vAlign w:val="center"/>
          </w:tcPr>
          <w:p w14:paraId="6EA23424" w14:textId="3C0B8C13" w:rsidR="00EE1A07" w:rsidRPr="000B6F85" w:rsidRDefault="00955F9C" w:rsidP="008A7D12">
            <w:pPr>
              <w:ind w:leftChars="-7" w:left="-1" w:hangingChars="7" w:hanging="14"/>
              <w:jc w:val="center"/>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モーラステープ</w:t>
            </w:r>
            <w:r>
              <w:rPr>
                <w:rFonts w:asciiTheme="majorHAnsi" w:eastAsia="ＭＳ Ｐゴシック" w:hAnsiTheme="majorHAnsi" w:cstheme="majorHAnsi" w:hint="eastAsia"/>
                <w:sz w:val="20"/>
                <w:szCs w:val="20"/>
              </w:rPr>
              <w:t>20mg</w:t>
            </w:r>
          </w:p>
        </w:tc>
      </w:tr>
      <w:tr w:rsidR="00EE1A07" w:rsidRPr="00791B67" w14:paraId="5144A030" w14:textId="77777777" w:rsidTr="00D51ABF">
        <w:trPr>
          <w:trHeight w:val="567"/>
        </w:trPr>
        <w:tc>
          <w:tcPr>
            <w:tcW w:w="1134" w:type="dxa"/>
            <w:tcBorders>
              <w:left w:val="single" w:sz="12" w:space="0" w:color="000000"/>
              <w:right w:val="single" w:sz="12" w:space="0" w:color="000000"/>
            </w:tcBorders>
            <w:vAlign w:val="center"/>
          </w:tcPr>
          <w:p w14:paraId="10DFF665" w14:textId="77777777" w:rsidR="00EE1A07" w:rsidRPr="00791B67" w:rsidRDefault="00EE1A07" w:rsidP="00EE1A07">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624BB0FD" w14:textId="648BFEAC" w:rsidR="00EE1A07" w:rsidRDefault="00B45A76" w:rsidP="000B73DA">
            <w:pPr>
              <w:jc w:val="center"/>
              <w:rPr>
                <w:rFonts w:asciiTheme="majorHAnsi" w:eastAsia="ＭＳ Ｐゴシック" w:hAnsiTheme="majorHAnsi" w:cstheme="majorHAnsi"/>
                <w:color w:val="000000" w:themeColor="text1"/>
                <w:sz w:val="20"/>
                <w:szCs w:val="20"/>
              </w:rPr>
            </w:pPr>
            <w:r>
              <w:rPr>
                <w:rFonts w:asciiTheme="majorHAnsi" w:eastAsia="ＭＳ Ｐゴシック" w:hAnsiTheme="majorHAnsi" w:cstheme="majorHAnsi" w:hint="eastAsia"/>
                <w:color w:val="000000" w:themeColor="text1"/>
                <w:sz w:val="20"/>
                <w:szCs w:val="20"/>
              </w:rPr>
              <w:t>12.</w:t>
            </w:r>
            <w:r w:rsidR="00DD1843">
              <w:rPr>
                <w:rFonts w:asciiTheme="majorHAnsi" w:eastAsia="ＭＳ Ｐゴシック" w:hAnsiTheme="majorHAnsi" w:cstheme="majorHAnsi" w:hint="eastAsia"/>
                <w:color w:val="000000" w:themeColor="text1"/>
                <w:sz w:val="20"/>
                <w:szCs w:val="20"/>
              </w:rPr>
              <w:t>7</w:t>
            </w:r>
            <w:r w:rsidR="00721A6D" w:rsidRPr="000B6F85">
              <w:rPr>
                <w:rFonts w:asciiTheme="majorHAnsi" w:eastAsia="ＭＳ Ｐゴシック" w:hAnsiTheme="majorHAnsi" w:cstheme="majorHAnsi" w:hint="eastAsia"/>
                <w:color w:val="000000" w:themeColor="text1"/>
                <w:sz w:val="20"/>
                <w:szCs w:val="20"/>
              </w:rPr>
              <w:t>0</w:t>
            </w:r>
            <w:r w:rsidR="00721A6D" w:rsidRPr="000B6F85">
              <w:rPr>
                <w:rFonts w:asciiTheme="majorHAnsi" w:eastAsia="ＭＳ Ｐゴシック" w:hAnsiTheme="majorHAnsi" w:cstheme="majorHAnsi" w:hint="eastAsia"/>
                <w:color w:val="000000" w:themeColor="text1"/>
                <w:sz w:val="20"/>
                <w:szCs w:val="20"/>
              </w:rPr>
              <w:t>円</w:t>
            </w:r>
            <w:r w:rsidR="000B73DA">
              <w:rPr>
                <w:rFonts w:asciiTheme="majorHAnsi" w:eastAsia="ＭＳ Ｐゴシック" w:hAnsiTheme="majorHAnsi" w:cstheme="majorHAnsi" w:hint="eastAsia"/>
                <w:color w:val="000000" w:themeColor="text1"/>
                <w:sz w:val="20"/>
                <w:szCs w:val="20"/>
              </w:rPr>
              <w:t>／</w:t>
            </w:r>
            <w:r w:rsidR="00721A6D" w:rsidRPr="000B6F85">
              <w:rPr>
                <w:rFonts w:asciiTheme="majorHAnsi" w:eastAsia="ＭＳ Ｐゴシック" w:hAnsiTheme="majorHAnsi" w:cstheme="majorHAnsi" w:hint="eastAsia"/>
                <w:color w:val="000000" w:themeColor="text1"/>
                <w:sz w:val="20"/>
                <w:szCs w:val="20"/>
              </w:rPr>
              <w:t>枚</w:t>
            </w:r>
          </w:p>
          <w:p w14:paraId="36C95A0C" w14:textId="184C9278" w:rsidR="00955F9C" w:rsidRPr="000B73DA" w:rsidRDefault="00955F9C" w:rsidP="000B73DA">
            <w:pPr>
              <w:jc w:val="center"/>
              <w:rPr>
                <w:rFonts w:asciiTheme="majorHAnsi" w:eastAsia="ＭＳ Ｐゴシック" w:hAnsiTheme="majorHAnsi" w:cstheme="majorHAnsi"/>
                <w:color w:val="000000" w:themeColor="text1"/>
                <w:sz w:val="20"/>
                <w:szCs w:val="20"/>
              </w:rPr>
            </w:pPr>
            <w:r>
              <w:rPr>
                <w:rFonts w:asciiTheme="majorHAnsi" w:eastAsia="ＭＳ Ｐゴシック" w:hAnsiTheme="majorHAnsi" w:cstheme="majorHAnsi" w:hint="eastAsia"/>
                <w:color w:val="000000" w:themeColor="text1"/>
                <w:sz w:val="20"/>
                <w:szCs w:val="20"/>
              </w:rPr>
              <w:t>(</w:t>
            </w:r>
            <w:r>
              <w:rPr>
                <w:rFonts w:asciiTheme="majorHAnsi" w:eastAsia="ＭＳ Ｐゴシック" w:hAnsiTheme="majorHAnsi" w:cstheme="majorHAnsi" w:hint="eastAsia"/>
                <w:color w:val="000000" w:themeColor="text1"/>
                <w:sz w:val="20"/>
                <w:szCs w:val="20"/>
              </w:rPr>
              <w:t>標準品との差：</w:t>
            </w:r>
            <w:r w:rsidR="00A95085">
              <w:rPr>
                <w:rFonts w:asciiTheme="majorHAnsi" w:eastAsia="ＭＳ Ｐゴシック" w:hAnsiTheme="majorHAnsi" w:cstheme="majorHAnsi" w:hint="eastAsia"/>
                <w:color w:val="000000" w:themeColor="text1"/>
                <w:sz w:val="20"/>
                <w:szCs w:val="20"/>
              </w:rPr>
              <w:t>6</w:t>
            </w:r>
            <w:r>
              <w:rPr>
                <w:rFonts w:asciiTheme="majorHAnsi" w:eastAsia="ＭＳ Ｐゴシック" w:hAnsiTheme="majorHAnsi" w:cstheme="majorHAnsi" w:hint="eastAsia"/>
                <w:color w:val="000000" w:themeColor="text1"/>
                <w:sz w:val="20"/>
                <w:szCs w:val="20"/>
              </w:rPr>
              <w:t>.</w:t>
            </w:r>
            <w:r w:rsidR="00A95085">
              <w:rPr>
                <w:rFonts w:asciiTheme="majorHAnsi" w:eastAsia="ＭＳ Ｐゴシック" w:hAnsiTheme="majorHAnsi" w:cstheme="majorHAnsi" w:hint="eastAsia"/>
                <w:color w:val="000000" w:themeColor="text1"/>
                <w:sz w:val="20"/>
                <w:szCs w:val="20"/>
              </w:rPr>
              <w:t>1</w:t>
            </w:r>
            <w:r>
              <w:rPr>
                <w:rFonts w:asciiTheme="majorHAnsi" w:eastAsia="ＭＳ Ｐゴシック" w:hAnsiTheme="majorHAnsi" w:cstheme="majorHAnsi" w:hint="eastAsia"/>
                <w:color w:val="000000" w:themeColor="text1"/>
                <w:sz w:val="20"/>
                <w:szCs w:val="20"/>
              </w:rPr>
              <w:t>0</w:t>
            </w:r>
            <w:r>
              <w:rPr>
                <w:rFonts w:asciiTheme="majorHAnsi" w:eastAsia="ＭＳ Ｐゴシック" w:hAnsiTheme="majorHAnsi" w:cstheme="majorHAnsi" w:hint="eastAsia"/>
                <w:color w:val="000000" w:themeColor="text1"/>
                <w:sz w:val="20"/>
                <w:szCs w:val="20"/>
              </w:rPr>
              <w:t>円</w:t>
            </w:r>
            <w:r>
              <w:rPr>
                <w:rFonts w:asciiTheme="majorHAnsi" w:eastAsia="ＭＳ Ｐゴシック" w:hAnsiTheme="majorHAnsi" w:cstheme="majorHAnsi" w:hint="eastAsia"/>
                <w:color w:val="000000" w:themeColor="text1"/>
                <w:sz w:val="20"/>
                <w:szCs w:val="20"/>
              </w:rPr>
              <w:t>/1</w:t>
            </w:r>
            <w:r>
              <w:rPr>
                <w:rFonts w:asciiTheme="majorHAnsi" w:eastAsia="ＭＳ Ｐゴシック" w:hAnsiTheme="majorHAnsi" w:cstheme="majorHAnsi" w:hint="eastAsia"/>
                <w:color w:val="000000" w:themeColor="text1"/>
                <w:sz w:val="20"/>
                <w:szCs w:val="20"/>
              </w:rPr>
              <w:t>枚</w:t>
            </w:r>
            <w:r>
              <w:rPr>
                <w:rFonts w:asciiTheme="majorHAnsi" w:eastAsia="ＭＳ Ｐゴシック" w:hAnsiTheme="majorHAnsi" w:cstheme="majorHAnsi" w:hint="eastAsia"/>
                <w:color w:val="000000" w:themeColor="text1"/>
                <w:sz w:val="20"/>
                <w:szCs w:val="20"/>
              </w:rPr>
              <w:t>)</w:t>
            </w:r>
          </w:p>
        </w:tc>
        <w:tc>
          <w:tcPr>
            <w:tcW w:w="4615" w:type="dxa"/>
            <w:tcBorders>
              <w:left w:val="single" w:sz="4" w:space="0" w:color="auto"/>
              <w:right w:val="single" w:sz="12" w:space="0" w:color="000000"/>
            </w:tcBorders>
            <w:shd w:val="clear" w:color="auto" w:fill="auto"/>
            <w:vAlign w:val="center"/>
          </w:tcPr>
          <w:p w14:paraId="6B164AE8" w14:textId="5C85AF1A" w:rsidR="00EE1A07" w:rsidRPr="000B6F85" w:rsidRDefault="00EB3EF1" w:rsidP="000B73DA">
            <w:pPr>
              <w:jc w:val="center"/>
              <w:rPr>
                <w:rFonts w:asciiTheme="majorHAnsi" w:eastAsia="ＭＳ Ｐゴシック" w:hAnsiTheme="majorHAnsi" w:cstheme="majorHAnsi"/>
                <w:color w:val="000000"/>
                <w:sz w:val="20"/>
                <w:szCs w:val="20"/>
              </w:rPr>
            </w:pPr>
            <w:r>
              <w:rPr>
                <w:rFonts w:asciiTheme="majorHAnsi" w:eastAsia="ＭＳ Ｐゴシック" w:hAnsiTheme="majorHAnsi" w:cstheme="majorHAnsi" w:hint="eastAsia"/>
                <w:color w:val="000000"/>
                <w:sz w:val="20"/>
                <w:szCs w:val="20"/>
              </w:rPr>
              <w:t>1</w:t>
            </w:r>
            <w:r w:rsidR="00A95085">
              <w:rPr>
                <w:rFonts w:asciiTheme="majorHAnsi" w:eastAsia="ＭＳ Ｐゴシック" w:hAnsiTheme="majorHAnsi" w:cstheme="majorHAnsi" w:hint="eastAsia"/>
                <w:color w:val="000000"/>
                <w:sz w:val="20"/>
                <w:szCs w:val="20"/>
              </w:rPr>
              <w:t>8</w:t>
            </w:r>
            <w:r w:rsidR="00026333">
              <w:rPr>
                <w:rFonts w:asciiTheme="majorHAnsi" w:eastAsia="ＭＳ Ｐゴシック" w:hAnsiTheme="majorHAnsi" w:cstheme="majorHAnsi" w:hint="eastAsia"/>
                <w:color w:val="000000"/>
                <w:sz w:val="20"/>
                <w:szCs w:val="20"/>
              </w:rPr>
              <w:t>.</w:t>
            </w:r>
            <w:r w:rsidR="00A95085">
              <w:rPr>
                <w:rFonts w:asciiTheme="majorHAnsi" w:eastAsia="ＭＳ Ｐゴシック" w:hAnsiTheme="majorHAnsi" w:cstheme="majorHAnsi" w:hint="eastAsia"/>
                <w:color w:val="000000"/>
                <w:sz w:val="20"/>
                <w:szCs w:val="20"/>
              </w:rPr>
              <w:t>8</w:t>
            </w:r>
            <w:r w:rsidR="00026333">
              <w:rPr>
                <w:rFonts w:asciiTheme="majorHAnsi" w:eastAsia="ＭＳ Ｐゴシック" w:hAnsiTheme="majorHAnsi" w:cstheme="majorHAnsi" w:hint="eastAsia"/>
                <w:color w:val="000000"/>
                <w:sz w:val="20"/>
                <w:szCs w:val="20"/>
              </w:rPr>
              <w:t>0</w:t>
            </w:r>
            <w:r w:rsidR="00721A6D" w:rsidRPr="000B6F85">
              <w:rPr>
                <w:rFonts w:asciiTheme="majorHAnsi" w:eastAsia="ＭＳ Ｐゴシック" w:hAnsiTheme="majorHAnsi" w:cstheme="majorHAnsi" w:hint="eastAsia"/>
                <w:color w:val="000000"/>
                <w:sz w:val="20"/>
                <w:szCs w:val="20"/>
              </w:rPr>
              <w:t>円</w:t>
            </w:r>
            <w:r w:rsidR="000B73DA">
              <w:rPr>
                <w:rFonts w:asciiTheme="majorHAnsi" w:eastAsia="ＭＳ Ｐゴシック" w:hAnsiTheme="majorHAnsi" w:cstheme="majorHAnsi" w:hint="eastAsia"/>
                <w:color w:val="000000"/>
                <w:sz w:val="20"/>
                <w:szCs w:val="20"/>
              </w:rPr>
              <w:t>／</w:t>
            </w:r>
            <w:r w:rsidR="00721A6D" w:rsidRPr="000B6F85">
              <w:rPr>
                <w:rFonts w:asciiTheme="majorHAnsi" w:eastAsia="ＭＳ Ｐゴシック" w:hAnsiTheme="majorHAnsi" w:cstheme="majorHAnsi" w:hint="eastAsia"/>
                <w:color w:val="000000"/>
                <w:sz w:val="20"/>
                <w:szCs w:val="20"/>
              </w:rPr>
              <w:t>枚</w:t>
            </w:r>
          </w:p>
        </w:tc>
      </w:tr>
      <w:tr w:rsidR="00EE1A07" w:rsidRPr="00791B67" w14:paraId="1C61C324" w14:textId="77777777" w:rsidTr="00BB46BC">
        <w:trPr>
          <w:trHeight w:val="567"/>
        </w:trPr>
        <w:tc>
          <w:tcPr>
            <w:tcW w:w="1134" w:type="dxa"/>
            <w:tcBorders>
              <w:left w:val="single" w:sz="12" w:space="0" w:color="000000"/>
              <w:right w:val="single" w:sz="12" w:space="0" w:color="000000"/>
            </w:tcBorders>
            <w:vAlign w:val="center"/>
          </w:tcPr>
          <w:p w14:paraId="50C23FA8" w14:textId="77777777" w:rsidR="00EE1A07" w:rsidRPr="00791B67" w:rsidRDefault="00EE1A07" w:rsidP="00EE1A07">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規　格</w:t>
            </w:r>
          </w:p>
        </w:tc>
        <w:tc>
          <w:tcPr>
            <w:tcW w:w="9229" w:type="dxa"/>
            <w:gridSpan w:val="2"/>
            <w:tcBorders>
              <w:left w:val="single" w:sz="12" w:space="0" w:color="000000"/>
              <w:right w:val="single" w:sz="12" w:space="0" w:color="000000"/>
            </w:tcBorders>
            <w:vAlign w:val="center"/>
          </w:tcPr>
          <w:p w14:paraId="700574E1" w14:textId="1861ADCE" w:rsidR="00EE1A07" w:rsidRPr="000B6F85" w:rsidRDefault="00B16036" w:rsidP="000B73DA">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枚中</w:t>
            </w:r>
            <w:r w:rsidR="004B67A7">
              <w:rPr>
                <w:rFonts w:asciiTheme="majorHAnsi" w:eastAsia="ＭＳ Ｐゴシック" w:hAnsiTheme="majorHAnsi" w:cstheme="majorHAnsi" w:hint="eastAsia"/>
                <w:sz w:val="20"/>
                <w:szCs w:val="20"/>
              </w:rPr>
              <w:t xml:space="preserve">　</w:t>
            </w:r>
            <w:r w:rsidRPr="000B6F85">
              <w:rPr>
                <w:rFonts w:asciiTheme="majorHAnsi" w:eastAsia="ＭＳ Ｐゴシック" w:hAnsiTheme="majorHAnsi" w:cstheme="majorHAnsi" w:hint="eastAsia"/>
                <w:sz w:val="20"/>
                <w:szCs w:val="20"/>
              </w:rPr>
              <w:t>「日局」ケトプロフェン</w:t>
            </w:r>
            <w:r w:rsidRPr="000B6F85">
              <w:rPr>
                <w:rFonts w:asciiTheme="majorHAnsi" w:eastAsia="ＭＳ Ｐゴシック" w:hAnsiTheme="majorHAnsi" w:cstheme="majorHAnsi" w:hint="eastAsia"/>
                <w:sz w:val="20"/>
                <w:szCs w:val="20"/>
              </w:rPr>
              <w:t>20mg</w:t>
            </w:r>
          </w:p>
        </w:tc>
      </w:tr>
      <w:tr w:rsidR="00EE1A07" w:rsidRPr="00791B67" w14:paraId="28661E0F" w14:textId="77777777" w:rsidTr="00BB46BC">
        <w:trPr>
          <w:trHeight w:val="567"/>
        </w:trPr>
        <w:tc>
          <w:tcPr>
            <w:tcW w:w="1134" w:type="dxa"/>
            <w:tcBorders>
              <w:left w:val="single" w:sz="12" w:space="0" w:color="000000"/>
              <w:right w:val="single" w:sz="12" w:space="0" w:color="000000"/>
            </w:tcBorders>
            <w:vAlign w:val="center"/>
          </w:tcPr>
          <w:p w14:paraId="6D880907" w14:textId="77777777" w:rsidR="00EE1A07" w:rsidRPr="00791B67" w:rsidRDefault="00EE1A07" w:rsidP="00EE1A07">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377303296"/>
              </w:rPr>
              <w:t>薬</w:t>
            </w:r>
            <w:r w:rsidRPr="00D606A7">
              <w:rPr>
                <w:rFonts w:asciiTheme="majorHAnsi" w:eastAsia="ＭＳ Ｐゴシック" w:hAnsiTheme="majorHAnsi" w:cstheme="majorHAnsi"/>
                <w:b/>
                <w:kern w:val="0"/>
                <w:szCs w:val="21"/>
                <w:fitText w:val="579" w:id="-377303296"/>
              </w:rPr>
              <w:t>効</w:t>
            </w:r>
          </w:p>
          <w:p w14:paraId="16CF404A" w14:textId="77777777" w:rsidR="00EE1A07" w:rsidRPr="00791B67" w:rsidRDefault="00EE1A07" w:rsidP="00EE1A07">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分類名</w:t>
            </w:r>
          </w:p>
        </w:tc>
        <w:tc>
          <w:tcPr>
            <w:tcW w:w="9229" w:type="dxa"/>
            <w:gridSpan w:val="2"/>
            <w:tcBorders>
              <w:left w:val="single" w:sz="12" w:space="0" w:color="000000"/>
              <w:right w:val="single" w:sz="12" w:space="0" w:color="000000"/>
            </w:tcBorders>
            <w:shd w:val="clear" w:color="auto" w:fill="auto"/>
            <w:vAlign w:val="center"/>
          </w:tcPr>
          <w:p w14:paraId="27E21C58" w14:textId="77777777" w:rsidR="00EE1A07" w:rsidRPr="000B6F85" w:rsidRDefault="008F5E0D" w:rsidP="00EE1A07">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経皮鎮痛消炎剤</w:t>
            </w:r>
          </w:p>
        </w:tc>
      </w:tr>
      <w:tr w:rsidR="00EE1A07" w:rsidRPr="00791B67" w14:paraId="2D912B8C" w14:textId="77777777" w:rsidTr="00853549">
        <w:trPr>
          <w:trHeight w:val="1410"/>
        </w:trPr>
        <w:tc>
          <w:tcPr>
            <w:tcW w:w="1134" w:type="dxa"/>
            <w:tcBorders>
              <w:left w:val="single" w:sz="12" w:space="0" w:color="000000"/>
              <w:right w:val="single" w:sz="12" w:space="0" w:color="000000"/>
            </w:tcBorders>
            <w:vAlign w:val="center"/>
          </w:tcPr>
          <w:p w14:paraId="709BE0DD" w14:textId="77777777" w:rsidR="00EE1A07" w:rsidRPr="00791B67" w:rsidRDefault="00EE1A07" w:rsidP="00EE1A07">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効　能</w:t>
            </w:r>
          </w:p>
          <w:p w14:paraId="270E8010" w14:textId="77777777" w:rsidR="00EE1A07" w:rsidRPr="00791B67" w:rsidRDefault="00EE1A07" w:rsidP="00EE1A07">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7253B05D" w14:textId="77777777" w:rsidR="00683E77" w:rsidRPr="000B6F85" w:rsidRDefault="00683E77" w:rsidP="0025240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○下記疾患並びに症状の鎮痛・消炎</w:t>
            </w:r>
          </w:p>
          <w:p w14:paraId="0FA1D5BA" w14:textId="77777777" w:rsidR="0025240A" w:rsidRPr="000B6F85" w:rsidRDefault="00683E77" w:rsidP="00687000">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腰痛症（筋・筋膜性腰痛症、変形性脊椎症、椎間板症、腰椎捻挫）、変形性関節症、肩関節周囲炎、</w:t>
            </w:r>
          </w:p>
          <w:p w14:paraId="4E90F073" w14:textId="77777777" w:rsidR="00683E77" w:rsidRPr="000B6F85" w:rsidRDefault="00683E77" w:rsidP="00687000">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腱・腱鞘炎、腱周囲炎、上腕骨上顆炎（テニス肘等）、筋肉痛、外傷後の腫脹・疼痛</w:t>
            </w:r>
          </w:p>
          <w:p w14:paraId="2965483E" w14:textId="2A71212F" w:rsidR="00EE1A07" w:rsidRPr="000B6F85" w:rsidRDefault="00683E77" w:rsidP="0025240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○関節リウマチにおける関節局所の鎮痛</w:t>
            </w:r>
            <w:r w:rsidR="00955F9C">
              <w:rPr>
                <w:rFonts w:asciiTheme="majorHAnsi" w:eastAsia="ＭＳ Ｐゴシック" w:hAnsiTheme="majorHAnsi" w:cstheme="majorHAnsi" w:hint="eastAsia"/>
                <w:color w:val="000000"/>
                <w:sz w:val="20"/>
                <w:szCs w:val="20"/>
              </w:rPr>
              <w:t xml:space="preserve">　　　　　　　　　　　　　　　　　　　　　　　　　　　　　</w:t>
            </w:r>
            <w:r w:rsidR="00955F9C">
              <w:rPr>
                <w:rFonts w:asciiTheme="majorHAnsi" w:eastAsia="ＭＳ Ｐゴシック" w:hAnsiTheme="majorHAnsi" w:cstheme="majorHAnsi" w:hint="eastAsia"/>
                <w:color w:val="000000"/>
                <w:sz w:val="20"/>
                <w:szCs w:val="20"/>
              </w:rPr>
              <w:t xml:space="preserve"> </w:t>
            </w:r>
            <w:r w:rsidR="00955F9C" w:rsidRPr="00955F9C">
              <w:rPr>
                <w:rFonts w:asciiTheme="majorHAnsi" w:eastAsia="ＭＳ Ｐゴシック" w:hAnsiTheme="majorHAnsi" w:cstheme="majorHAnsi"/>
                <w:b/>
                <w:bCs/>
                <w:color w:val="000000"/>
                <w:sz w:val="20"/>
                <w:szCs w:val="20"/>
              </w:rPr>
              <w:t xml:space="preserve"> </w:t>
            </w:r>
            <w:r w:rsidR="00955F9C" w:rsidRPr="00955F9C">
              <w:rPr>
                <w:rFonts w:asciiTheme="majorHAnsi" w:eastAsia="ＭＳ Ｐゴシック" w:hAnsiTheme="majorHAnsi" w:cstheme="majorHAnsi" w:hint="eastAsia"/>
                <w:b/>
                <w:bCs/>
                <w:color w:val="000000"/>
                <w:sz w:val="20"/>
                <w:szCs w:val="20"/>
              </w:rPr>
              <w:t>【標準品と同じ】</w:t>
            </w:r>
          </w:p>
        </w:tc>
      </w:tr>
      <w:tr w:rsidR="00EE1A07" w:rsidRPr="00791B67" w14:paraId="649C9601" w14:textId="77777777" w:rsidTr="00683E77">
        <w:trPr>
          <w:trHeight w:val="548"/>
        </w:trPr>
        <w:tc>
          <w:tcPr>
            <w:tcW w:w="1134" w:type="dxa"/>
            <w:tcBorders>
              <w:left w:val="single" w:sz="12" w:space="0" w:color="000000"/>
              <w:right w:val="single" w:sz="12" w:space="0" w:color="000000"/>
            </w:tcBorders>
            <w:vAlign w:val="center"/>
          </w:tcPr>
          <w:p w14:paraId="3540561A" w14:textId="77777777" w:rsidR="00EE1A07" w:rsidRPr="00791B67" w:rsidRDefault="00EE1A07" w:rsidP="00EE1A07">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法</w:t>
            </w:r>
          </w:p>
          <w:p w14:paraId="0033FECA" w14:textId="77777777" w:rsidR="00EE1A07" w:rsidRPr="00791B67" w:rsidRDefault="00EE1A07" w:rsidP="00EE1A07">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5AB413B9" w14:textId="77777777" w:rsidR="00EE1A07" w:rsidRDefault="00683E77" w:rsidP="0025240A">
            <w:pPr>
              <w:spacing w:line="300" w:lineRule="exac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日</w:t>
            </w: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回患部に貼付する。</w:t>
            </w:r>
          </w:p>
          <w:p w14:paraId="65C2289A" w14:textId="36BF5656" w:rsidR="00955F9C" w:rsidRPr="00955F9C" w:rsidRDefault="00955F9C" w:rsidP="00955F9C">
            <w:pPr>
              <w:spacing w:line="300" w:lineRule="exact"/>
              <w:jc w:val="right"/>
              <w:rPr>
                <w:rFonts w:asciiTheme="majorHAnsi" w:eastAsia="ＭＳ Ｐゴシック" w:hAnsiTheme="majorHAnsi" w:cstheme="majorHAnsi"/>
                <w:b/>
                <w:bCs/>
                <w:color w:val="000000"/>
                <w:sz w:val="20"/>
                <w:szCs w:val="20"/>
              </w:rPr>
            </w:pPr>
            <w:r w:rsidRPr="00955F9C">
              <w:rPr>
                <w:rFonts w:asciiTheme="majorHAnsi" w:eastAsia="ＭＳ Ｐゴシック" w:hAnsiTheme="majorHAnsi" w:cstheme="majorHAnsi" w:hint="eastAsia"/>
                <w:b/>
                <w:bCs/>
                <w:color w:val="000000"/>
                <w:sz w:val="20"/>
                <w:szCs w:val="20"/>
              </w:rPr>
              <w:t>【標準品と同じ】</w:t>
            </w:r>
          </w:p>
        </w:tc>
      </w:tr>
      <w:tr w:rsidR="00EE1A07" w:rsidRPr="00791B67" w14:paraId="487A3E65" w14:textId="77777777" w:rsidTr="00853549">
        <w:trPr>
          <w:trHeight w:val="1693"/>
        </w:trPr>
        <w:tc>
          <w:tcPr>
            <w:tcW w:w="1134" w:type="dxa"/>
            <w:tcBorders>
              <w:left w:val="single" w:sz="12" w:space="0" w:color="000000"/>
              <w:bottom w:val="single" w:sz="6" w:space="0" w:color="000000"/>
              <w:right w:val="single" w:sz="12" w:space="0" w:color="000000"/>
            </w:tcBorders>
            <w:vAlign w:val="center"/>
          </w:tcPr>
          <w:p w14:paraId="66338877" w14:textId="77777777" w:rsidR="00EE1A07" w:rsidRPr="00791B67" w:rsidRDefault="00EE1A07" w:rsidP="00EE1A07">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szCs w:val="21"/>
              </w:rPr>
              <w:t>添加物</w:t>
            </w:r>
          </w:p>
        </w:tc>
        <w:tc>
          <w:tcPr>
            <w:tcW w:w="4614" w:type="dxa"/>
            <w:tcBorders>
              <w:top w:val="single" w:sz="4" w:space="0" w:color="000000"/>
              <w:left w:val="single" w:sz="12" w:space="0" w:color="000000"/>
              <w:bottom w:val="single" w:sz="6" w:space="0" w:color="000000"/>
              <w:right w:val="single" w:sz="4" w:space="0" w:color="auto"/>
            </w:tcBorders>
            <w:vAlign w:val="center"/>
          </w:tcPr>
          <w:p w14:paraId="620730D8" w14:textId="77777777" w:rsidR="00EE1A07" w:rsidRPr="000B6F85" w:rsidRDefault="00683E77" w:rsidP="0025240A">
            <w:pPr>
              <w:spacing w:line="300" w:lineRule="exact"/>
              <w:rPr>
                <w:rFonts w:asciiTheme="majorHAnsi" w:eastAsia="ＭＳ Ｐゴシック" w:hAnsiTheme="majorHAnsi" w:cstheme="majorHAnsi"/>
                <w:spacing w:val="-4"/>
                <w:sz w:val="20"/>
                <w:szCs w:val="20"/>
              </w:rPr>
            </w:pPr>
            <w:r w:rsidRPr="000B6F85">
              <w:rPr>
                <w:rFonts w:asciiTheme="majorHAnsi" w:eastAsia="ＭＳ Ｐゴシック" w:hAnsiTheme="majorHAnsi" w:cstheme="majorHAnsi" w:hint="eastAsia"/>
                <w:spacing w:val="-4"/>
                <w:sz w:val="20"/>
                <w:szCs w:val="20"/>
              </w:rPr>
              <w:t>軽質流動パラフィン、</w:t>
            </w: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hint="eastAsia"/>
                <w:spacing w:val="-4"/>
                <w:sz w:val="20"/>
                <w:szCs w:val="20"/>
              </w:rPr>
              <w:t>-</w:t>
            </w:r>
            <w:r w:rsidRPr="000B6F85">
              <w:rPr>
                <w:rFonts w:asciiTheme="majorHAnsi" w:eastAsia="ＭＳ Ｐゴシック" w:hAnsiTheme="majorHAnsi" w:cstheme="majorHAnsi" w:hint="eastAsia"/>
                <w:spacing w:val="-4"/>
                <w:sz w:val="20"/>
                <w:szCs w:val="20"/>
              </w:rPr>
              <w:t>メントール、クロタミトン、メタクリル酸・アクリル酸</w:t>
            </w:r>
            <w:r w:rsidRPr="000B6F85">
              <w:rPr>
                <w:rFonts w:asciiTheme="majorHAnsi" w:eastAsia="ＭＳ Ｐゴシック" w:hAnsiTheme="majorHAnsi" w:cstheme="majorHAnsi" w:hint="eastAsia"/>
                <w:spacing w:val="-4"/>
                <w:sz w:val="20"/>
                <w:szCs w:val="20"/>
              </w:rPr>
              <w:t>n</w:t>
            </w:r>
            <w:r w:rsidRPr="000B6F85">
              <w:rPr>
                <w:rFonts w:asciiTheme="majorHAnsi" w:eastAsia="ＭＳ Ｐゴシック" w:hAnsiTheme="majorHAnsi" w:cstheme="majorHAnsi" w:hint="eastAsia"/>
                <w:spacing w:val="-4"/>
                <w:sz w:val="20"/>
                <w:szCs w:val="20"/>
              </w:rPr>
              <w:t>－ブチルコポリマー、天然ゴムラテックス、ＳＢＲ合成ラテックス、ミリスチルアルコール、ジブチルヒドロキシトルエン、ポリブテン、モノオレイン酸ソルビタン、ポリソルベート</w:t>
            </w:r>
            <w:r w:rsidRPr="000B6F85">
              <w:rPr>
                <w:rFonts w:asciiTheme="majorHAnsi" w:eastAsia="ＭＳ Ｐゴシック" w:hAnsiTheme="majorHAnsi" w:cstheme="majorHAnsi" w:hint="eastAsia"/>
                <w:spacing w:val="-4"/>
                <w:sz w:val="20"/>
                <w:szCs w:val="20"/>
              </w:rPr>
              <w:t>80</w:t>
            </w:r>
          </w:p>
        </w:tc>
        <w:tc>
          <w:tcPr>
            <w:tcW w:w="4615" w:type="dxa"/>
            <w:tcBorders>
              <w:top w:val="single" w:sz="4" w:space="0" w:color="000000"/>
              <w:left w:val="single" w:sz="4" w:space="0" w:color="auto"/>
              <w:bottom w:val="single" w:sz="6" w:space="0" w:color="000000"/>
              <w:right w:val="single" w:sz="12" w:space="0" w:color="000000"/>
            </w:tcBorders>
            <w:vAlign w:val="center"/>
          </w:tcPr>
          <w:p w14:paraId="48E9B2B9" w14:textId="77777777" w:rsidR="00EE1A07" w:rsidRPr="000B6F85" w:rsidRDefault="00683E77" w:rsidP="0025240A">
            <w:pPr>
              <w:spacing w:line="300" w:lineRule="exact"/>
              <w:rPr>
                <w:rFonts w:asciiTheme="majorHAnsi" w:eastAsia="ＭＳ Ｐゴシック" w:hAnsiTheme="majorHAnsi" w:cstheme="majorHAnsi"/>
                <w:spacing w:val="-4"/>
                <w:sz w:val="20"/>
                <w:szCs w:val="20"/>
              </w:rPr>
            </w:pP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spacing w:val="-4"/>
                <w:sz w:val="20"/>
                <w:szCs w:val="20"/>
              </w:rPr>
              <w:t>-</w:t>
            </w:r>
            <w:r w:rsidRPr="000B6F85">
              <w:rPr>
                <w:rFonts w:asciiTheme="majorHAnsi" w:eastAsia="ＭＳ Ｐゴシック" w:hAnsiTheme="majorHAnsi" w:cstheme="majorHAnsi" w:hint="eastAsia"/>
                <w:spacing w:val="-4"/>
                <w:sz w:val="20"/>
                <w:szCs w:val="20"/>
              </w:rPr>
              <w:t>メントール、ジブチルヒドロキシトルエン、水素添加ロジングリセリンエステル、スチレン・イソプレン・スチレンブロック共重合体、</w:t>
            </w:r>
            <w:r w:rsidRPr="000B6F85">
              <w:rPr>
                <w:rFonts w:asciiTheme="majorHAnsi" w:eastAsia="ＭＳ Ｐゴシック" w:hAnsiTheme="majorHAnsi" w:cstheme="majorHAnsi"/>
                <w:spacing w:val="-4"/>
                <w:sz w:val="20"/>
                <w:szCs w:val="20"/>
              </w:rPr>
              <w:t>4-tert-</w:t>
            </w:r>
            <w:r w:rsidRPr="000B6F85">
              <w:rPr>
                <w:rFonts w:asciiTheme="majorHAnsi" w:eastAsia="ＭＳ Ｐゴシック" w:hAnsiTheme="majorHAnsi" w:cstheme="majorHAnsi" w:hint="eastAsia"/>
                <w:spacing w:val="-4"/>
                <w:sz w:val="20"/>
                <w:szCs w:val="20"/>
              </w:rPr>
              <w:t>ブチル</w:t>
            </w:r>
            <w:r w:rsidRPr="000B6F85">
              <w:rPr>
                <w:rFonts w:asciiTheme="majorHAnsi" w:eastAsia="ＭＳ Ｐゴシック" w:hAnsiTheme="majorHAnsi" w:cstheme="majorHAnsi"/>
                <w:spacing w:val="-4"/>
                <w:sz w:val="20"/>
                <w:szCs w:val="20"/>
              </w:rPr>
              <w:t>-4ʼ-</w:t>
            </w:r>
            <w:r w:rsidRPr="000B6F85">
              <w:rPr>
                <w:rFonts w:asciiTheme="majorHAnsi" w:eastAsia="ＭＳ Ｐゴシック" w:hAnsiTheme="majorHAnsi" w:cstheme="majorHAnsi" w:hint="eastAsia"/>
                <w:spacing w:val="-4"/>
                <w:sz w:val="20"/>
                <w:szCs w:val="20"/>
              </w:rPr>
              <w:t>メトキシジベンゾイルメタン、ポリイソブチレン、流動パラフィン、その他</w:t>
            </w:r>
            <w:r w:rsidRPr="000B6F85">
              <w:rPr>
                <w:rFonts w:asciiTheme="majorHAnsi" w:eastAsia="ＭＳ Ｐゴシック" w:hAnsiTheme="majorHAnsi" w:cstheme="majorHAnsi" w:hint="eastAsia"/>
                <w:spacing w:val="-4"/>
                <w:sz w:val="20"/>
                <w:szCs w:val="20"/>
              </w:rPr>
              <w:t>5</w:t>
            </w:r>
            <w:r w:rsidRPr="000B6F85">
              <w:rPr>
                <w:rFonts w:asciiTheme="majorHAnsi" w:eastAsia="ＭＳ Ｐゴシック" w:hAnsiTheme="majorHAnsi" w:cstheme="majorHAnsi" w:hint="eastAsia"/>
                <w:spacing w:val="-4"/>
                <w:sz w:val="20"/>
                <w:szCs w:val="20"/>
              </w:rPr>
              <w:t>成分</w:t>
            </w:r>
          </w:p>
        </w:tc>
      </w:tr>
      <w:tr w:rsidR="00683E77" w:rsidRPr="00791B67" w14:paraId="7797C41C" w14:textId="77777777" w:rsidTr="00853549">
        <w:trPr>
          <w:trHeight w:val="2162"/>
        </w:trPr>
        <w:tc>
          <w:tcPr>
            <w:tcW w:w="1134" w:type="dxa"/>
            <w:tcBorders>
              <w:top w:val="single" w:sz="6" w:space="0" w:color="000000"/>
              <w:left w:val="single" w:sz="12" w:space="0" w:color="000000"/>
              <w:right w:val="single" w:sz="12" w:space="0" w:color="000000"/>
            </w:tcBorders>
            <w:vAlign w:val="center"/>
          </w:tcPr>
          <w:p w14:paraId="14B884B5" w14:textId="77777777" w:rsidR="00683E77" w:rsidRPr="00791B67" w:rsidRDefault="00683E77" w:rsidP="00EE1A07">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85842943"/>
              </w:rPr>
              <w:t>性</w:t>
            </w:r>
            <w:r w:rsidRPr="00D606A7">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05C7C955" w14:textId="77777777"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微黄色半透明～黄色半透明の膏体を淡黄赤褐色～黄赤褐色の支持体に展延し、ライナーで被覆した貼付剤である。わずかに特異なにおいがある。</w:t>
            </w:r>
          </w:p>
          <w:p w14:paraId="5C83707C" w14:textId="168116A2"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sidR="00687000">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7cm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10cm</w:t>
            </w:r>
            <w:r w:rsidRPr="000B6F85">
              <w:rPr>
                <w:rFonts w:asciiTheme="majorHAnsi" w:eastAsia="ＭＳ Ｐゴシック" w:hAnsiTheme="majorHAnsi" w:cstheme="majorHAnsi" w:hint="eastAsia"/>
                <w:color w:val="000000"/>
                <w:spacing w:val="-4"/>
                <w:kern w:val="0"/>
                <w:sz w:val="20"/>
                <w:szCs w:val="20"/>
              </w:rPr>
              <w:t xml:space="preserve">　</w:t>
            </w:r>
          </w:p>
          <w:p w14:paraId="5CB3FD6E" w14:textId="1139B32D"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sidR="000B73DA" w:rsidRPr="000B6F85">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0.7g</w:t>
            </w:r>
          </w:p>
          <w:p w14:paraId="3DE80C02" w14:textId="52D0DE37"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識別コード：</w:t>
            </w:r>
            <w:r w:rsidRPr="000B6F85">
              <w:rPr>
                <w:rFonts w:asciiTheme="majorHAnsi" w:eastAsia="ＭＳ Ｐゴシック" w:hAnsiTheme="majorHAnsi" w:cstheme="majorHAnsi" w:hint="eastAsia"/>
                <w:color w:val="000000"/>
                <w:spacing w:val="-4"/>
                <w:kern w:val="0"/>
                <w:sz w:val="20"/>
                <w:szCs w:val="20"/>
              </w:rPr>
              <w:t>BMD102</w:t>
            </w:r>
            <w:r w:rsidRPr="000B6F85">
              <w:rPr>
                <w:rFonts w:asciiTheme="majorHAnsi" w:eastAsia="ＭＳ Ｐゴシック" w:hAnsiTheme="majorHAnsi" w:cstheme="majorHAnsi" w:hint="eastAsia"/>
                <w:color w:val="000000"/>
                <w:spacing w:val="-4"/>
                <w:kern w:val="0"/>
                <w:sz w:val="20"/>
                <w:szCs w:val="20"/>
              </w:rPr>
              <w:t>（薬袋に記載）</w:t>
            </w:r>
          </w:p>
        </w:tc>
        <w:tc>
          <w:tcPr>
            <w:tcW w:w="4615" w:type="dxa"/>
            <w:tcBorders>
              <w:top w:val="single" w:sz="6" w:space="0" w:color="000000"/>
              <w:left w:val="single" w:sz="4" w:space="0" w:color="auto"/>
              <w:right w:val="single" w:sz="12" w:space="0" w:color="000000"/>
            </w:tcBorders>
            <w:vAlign w:val="center"/>
          </w:tcPr>
          <w:p w14:paraId="0A217156" w14:textId="77777777"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膏体を淡褐色～褐色の基布に塗布し、膏体面をライナーで被覆した貼付剤である。本品からライナーを除き、直ちに観察するとき、膏体面は淡褐色～褐色半透明で特異な芳香がある。</w:t>
            </w:r>
          </w:p>
          <w:p w14:paraId="35802355" w14:textId="54BDF587"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sidR="00687000">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7cm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10cm</w:t>
            </w:r>
          </w:p>
          <w:p w14:paraId="0FD849E6" w14:textId="4EE50463" w:rsidR="00683E77" w:rsidRPr="000B6F85" w:rsidRDefault="00683E77" w:rsidP="0025240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sidR="000B73DA" w:rsidRPr="000B6F85">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1g</w:t>
            </w:r>
          </w:p>
        </w:tc>
      </w:tr>
      <w:tr w:rsidR="0025240A" w:rsidRPr="00791B67" w14:paraId="2B53EDDB" w14:textId="77777777" w:rsidTr="00853549">
        <w:tblPrEx>
          <w:tblCellMar>
            <w:left w:w="99" w:type="dxa"/>
            <w:right w:w="99" w:type="dxa"/>
          </w:tblCellMar>
        </w:tblPrEx>
        <w:trPr>
          <w:trHeight w:val="1275"/>
        </w:trPr>
        <w:tc>
          <w:tcPr>
            <w:tcW w:w="1134" w:type="dxa"/>
            <w:tcBorders>
              <w:left w:val="single" w:sz="12" w:space="0" w:color="000000"/>
              <w:right w:val="single" w:sz="12" w:space="0" w:color="000000"/>
            </w:tcBorders>
            <w:vAlign w:val="center"/>
          </w:tcPr>
          <w:p w14:paraId="69E9A357" w14:textId="77777777" w:rsidR="0025240A" w:rsidRPr="00791B67" w:rsidRDefault="0025240A" w:rsidP="0025240A">
            <w:pPr>
              <w:jc w:val="center"/>
              <w:rPr>
                <w:rFonts w:asciiTheme="majorHAnsi" w:eastAsia="ＭＳ Ｐゴシック" w:hAnsiTheme="majorHAnsi" w:cstheme="majorHAnsi"/>
              </w:rPr>
            </w:pPr>
            <w:r w:rsidRPr="0025240A">
              <w:rPr>
                <w:rFonts w:asciiTheme="majorHAnsi" w:eastAsia="ＭＳ Ｐゴシック" w:hAnsiTheme="majorHAnsi" w:cstheme="majorHAnsi" w:hint="eastAsia"/>
                <w:b/>
                <w:szCs w:val="21"/>
              </w:rPr>
              <w:t>臨床試験</w:t>
            </w:r>
          </w:p>
        </w:tc>
        <w:tc>
          <w:tcPr>
            <w:tcW w:w="9229" w:type="dxa"/>
            <w:gridSpan w:val="2"/>
            <w:tcBorders>
              <w:left w:val="single" w:sz="12" w:space="0" w:color="000000"/>
              <w:right w:val="single" w:sz="12" w:space="0" w:color="000000"/>
            </w:tcBorders>
            <w:shd w:val="clear" w:color="auto" w:fill="auto"/>
            <w:vAlign w:val="center"/>
          </w:tcPr>
          <w:p w14:paraId="432C2B74" w14:textId="77777777" w:rsidR="0025240A" w:rsidRPr="000B6F85" w:rsidRDefault="0025240A" w:rsidP="0025240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20mg</w:t>
            </w:r>
            <w:r w:rsidRPr="000B6F85">
              <w:rPr>
                <w:rFonts w:asciiTheme="majorHAnsi" w:eastAsia="ＭＳ Ｐゴシック" w:hAnsiTheme="majorHAnsi" w:cstheme="majorHAnsi" w:hint="eastAsia"/>
                <w:sz w:val="20"/>
                <w:szCs w:val="20"/>
              </w:rPr>
              <w:t>において、承認時まで実施された国内での一般臨床試験</w:t>
            </w:r>
            <w:r w:rsidRPr="000B6F85">
              <w:rPr>
                <w:rFonts w:asciiTheme="majorHAnsi" w:eastAsia="ＭＳ Ｐゴシック" w:hAnsiTheme="majorHAnsi" w:cstheme="majorHAnsi" w:hint="eastAsia"/>
                <w:sz w:val="20"/>
                <w:szCs w:val="20"/>
              </w:rPr>
              <w:t>40</w:t>
            </w:r>
            <w:r w:rsidRPr="000B6F85">
              <w:rPr>
                <w:rFonts w:asciiTheme="majorHAnsi" w:eastAsia="ＭＳ Ｐゴシック" w:hAnsiTheme="majorHAnsi" w:cstheme="majorHAnsi" w:hint="eastAsia"/>
                <w:sz w:val="20"/>
                <w:szCs w:val="20"/>
              </w:rPr>
              <w:t>例に対する改善率は下記のとおりである（使用期間</w:t>
            </w: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週間）。</w:t>
            </w:r>
          </w:p>
          <w:p w14:paraId="108BDBBB" w14:textId="77777777" w:rsidR="0025240A" w:rsidRPr="000B6F85" w:rsidRDefault="0025240A" w:rsidP="0025240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変形性膝関節症：中等度改善以上</w:t>
            </w:r>
            <w:r w:rsidRPr="000B6F85">
              <w:rPr>
                <w:rFonts w:asciiTheme="majorHAnsi" w:eastAsia="ＭＳ Ｐゴシック" w:hAnsiTheme="majorHAnsi" w:cstheme="majorHAnsi" w:hint="eastAsia"/>
                <w:sz w:val="20"/>
                <w:szCs w:val="20"/>
              </w:rPr>
              <w:t>45.0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p w14:paraId="60795F8F" w14:textId="77777777" w:rsidR="0025240A" w:rsidRPr="000B6F85" w:rsidRDefault="0025240A" w:rsidP="0025240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腰痛症：中等度改善以上</w:t>
            </w:r>
            <w:r w:rsidRPr="000B6F85">
              <w:rPr>
                <w:rFonts w:asciiTheme="majorHAnsi" w:eastAsia="ＭＳ Ｐゴシック" w:hAnsiTheme="majorHAnsi" w:cstheme="majorHAnsi" w:hint="eastAsia"/>
                <w:sz w:val="20"/>
                <w:szCs w:val="20"/>
              </w:rPr>
              <w:t>60.0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tc>
      </w:tr>
      <w:tr w:rsidR="0025240A" w:rsidRPr="00791B67" w14:paraId="50A73E42" w14:textId="77777777" w:rsidTr="00853549">
        <w:tblPrEx>
          <w:tblCellMar>
            <w:left w:w="99" w:type="dxa"/>
            <w:right w:w="99" w:type="dxa"/>
          </w:tblCellMar>
        </w:tblPrEx>
        <w:trPr>
          <w:trHeight w:val="2279"/>
        </w:trPr>
        <w:tc>
          <w:tcPr>
            <w:tcW w:w="1134" w:type="dxa"/>
            <w:tcBorders>
              <w:left w:val="single" w:sz="12" w:space="0" w:color="000000"/>
              <w:right w:val="single" w:sz="12" w:space="0" w:color="000000"/>
            </w:tcBorders>
            <w:vAlign w:val="center"/>
          </w:tcPr>
          <w:p w14:paraId="4DD8BC88" w14:textId="6E8259A9" w:rsidR="00766708" w:rsidRPr="00791B67" w:rsidRDefault="00687000" w:rsidP="00766708">
            <w:pPr>
              <w:jc w:val="center"/>
              <w:rPr>
                <w:rFonts w:asciiTheme="majorHAnsi" w:eastAsia="ＭＳ Ｐゴシック" w:hAnsiTheme="majorHAnsi" w:cstheme="majorHAnsi"/>
                <w:b/>
                <w:szCs w:val="21"/>
              </w:rPr>
            </w:pPr>
            <w:r w:rsidRPr="00687000">
              <w:rPr>
                <w:rFonts w:asciiTheme="majorHAnsi" w:eastAsia="ＭＳ Ｐゴシック" w:hAnsiTheme="majorHAnsi" w:cstheme="majorHAnsi" w:hint="eastAsia"/>
                <w:b/>
                <w:szCs w:val="21"/>
              </w:rPr>
              <w:t>薬効薬理</w:t>
            </w:r>
          </w:p>
        </w:tc>
        <w:tc>
          <w:tcPr>
            <w:tcW w:w="9229" w:type="dxa"/>
            <w:gridSpan w:val="2"/>
            <w:tcBorders>
              <w:left w:val="single" w:sz="12" w:space="0" w:color="000000"/>
              <w:right w:val="single" w:sz="12" w:space="0" w:color="000000"/>
            </w:tcBorders>
            <w:shd w:val="clear" w:color="auto" w:fill="auto"/>
            <w:vAlign w:val="center"/>
          </w:tcPr>
          <w:p w14:paraId="0EC57C4F" w14:textId="77777777" w:rsidR="0025240A" w:rsidRPr="000B6F85" w:rsidRDefault="0025240A" w:rsidP="0025240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．鎮痛作用</w:t>
            </w:r>
          </w:p>
          <w:p w14:paraId="493EA071" w14:textId="77777777" w:rsidR="0025240A" w:rsidRPr="000B6F85" w:rsidRDefault="0025240A" w:rsidP="0025240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ラットの炎症性疼痛抑制試験（</w:t>
            </w:r>
            <w:r w:rsidRPr="000B6F85">
              <w:rPr>
                <w:rFonts w:asciiTheme="majorHAnsi" w:eastAsia="ＭＳ Ｐゴシック" w:hAnsiTheme="majorHAnsi" w:cstheme="majorHAnsi" w:hint="eastAsia"/>
                <w:sz w:val="20"/>
                <w:szCs w:val="20"/>
              </w:rPr>
              <w:t>Randall</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Selitto</w:t>
            </w:r>
            <w:r w:rsidRPr="000B6F85">
              <w:rPr>
                <w:rFonts w:asciiTheme="majorHAnsi" w:eastAsia="ＭＳ Ｐゴシック" w:hAnsiTheme="majorHAnsi" w:cstheme="majorHAnsi" w:hint="eastAsia"/>
                <w:sz w:val="20"/>
                <w:szCs w:val="20"/>
              </w:rPr>
              <w:t>法）において、鎮痛作用が認められた。また、本剤と標準製剤とにおいて、鎮痛作用に有意な差は認められず、両剤の生物学的同等性が確認された。</w:t>
            </w:r>
          </w:p>
          <w:p w14:paraId="029DDC4E" w14:textId="77777777" w:rsidR="0025240A" w:rsidRPr="000B6F85" w:rsidRDefault="0025240A" w:rsidP="0025240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．抗炎症作用</w:t>
            </w:r>
          </w:p>
          <w:p w14:paraId="7D195A39" w14:textId="77777777" w:rsidR="0025240A" w:rsidRPr="000B6F85" w:rsidRDefault="0025240A" w:rsidP="0025240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カラゲニン足蹠浮腫抑制試験及びアジュバント関節炎抑制試験において、抗炎症作用が認められた。また、本剤と標準製剤とにおいて、抗炎症作用に有意な差は認められず、両剤の生物学的同等性が確認された。</w:t>
            </w:r>
          </w:p>
        </w:tc>
      </w:tr>
      <w:tr w:rsidR="0025240A" w:rsidRPr="00791B67" w14:paraId="2AE1143C" w14:textId="77777777" w:rsidTr="00766708">
        <w:trPr>
          <w:trHeight w:val="903"/>
        </w:trPr>
        <w:tc>
          <w:tcPr>
            <w:tcW w:w="1134" w:type="dxa"/>
            <w:tcBorders>
              <w:left w:val="single" w:sz="12" w:space="0" w:color="000000"/>
              <w:bottom w:val="single" w:sz="12" w:space="0" w:color="000000"/>
              <w:right w:val="single" w:sz="12" w:space="0" w:color="000000"/>
            </w:tcBorders>
            <w:vAlign w:val="center"/>
          </w:tcPr>
          <w:p w14:paraId="3B0C5CFE" w14:textId="77777777" w:rsidR="0025240A" w:rsidRPr="00791B67" w:rsidRDefault="0025240A" w:rsidP="0025240A">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64584F24" w14:textId="77777777" w:rsidR="0025240A" w:rsidRPr="00791B67" w:rsidRDefault="0025240A" w:rsidP="0025240A">
            <w:pPr>
              <w:rPr>
                <w:rFonts w:asciiTheme="majorHAnsi" w:eastAsia="ＭＳ Ｐゴシック" w:hAnsiTheme="majorHAnsi" w:cstheme="majorHAnsi"/>
              </w:rPr>
            </w:pPr>
          </w:p>
        </w:tc>
      </w:tr>
    </w:tbl>
    <w:p w14:paraId="17D21AD1" w14:textId="77777777" w:rsidR="009F53A3" w:rsidRPr="002A7EAA" w:rsidRDefault="009F53A3" w:rsidP="001A3F00"/>
    <w:sectPr w:rsidR="009F53A3" w:rsidRPr="002A7EAA" w:rsidSect="00766708">
      <w:pgSz w:w="11906" w:h="16838" w:code="9"/>
      <w:pgMar w:top="568" w:right="720" w:bottom="709"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FF5C" w14:textId="77777777" w:rsidR="001A263B" w:rsidRDefault="001A263B" w:rsidP="004739A6">
      <w:r>
        <w:separator/>
      </w:r>
    </w:p>
  </w:endnote>
  <w:endnote w:type="continuationSeparator" w:id="0">
    <w:p w14:paraId="31175259"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ABB4" w14:textId="77777777" w:rsidR="001A263B" w:rsidRDefault="001A263B" w:rsidP="004739A6">
      <w:r>
        <w:separator/>
      </w:r>
    </w:p>
  </w:footnote>
  <w:footnote w:type="continuationSeparator" w:id="0">
    <w:p w14:paraId="231D32B8"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7603897">
    <w:abstractNumId w:val="6"/>
  </w:num>
  <w:num w:numId="2" w16cid:durableId="695425209">
    <w:abstractNumId w:val="10"/>
  </w:num>
  <w:num w:numId="3" w16cid:durableId="414011604">
    <w:abstractNumId w:val="1"/>
  </w:num>
  <w:num w:numId="4" w16cid:durableId="1874734398">
    <w:abstractNumId w:val="4"/>
  </w:num>
  <w:num w:numId="5" w16cid:durableId="1622032759">
    <w:abstractNumId w:val="9"/>
  </w:num>
  <w:num w:numId="6" w16cid:durableId="1002586754">
    <w:abstractNumId w:val="0"/>
  </w:num>
  <w:num w:numId="7" w16cid:durableId="151722544">
    <w:abstractNumId w:val="5"/>
  </w:num>
  <w:num w:numId="8" w16cid:durableId="262495826">
    <w:abstractNumId w:val="7"/>
  </w:num>
  <w:num w:numId="9" w16cid:durableId="782649045">
    <w:abstractNumId w:val="8"/>
  </w:num>
  <w:num w:numId="10" w16cid:durableId="710227127">
    <w:abstractNumId w:val="3"/>
  </w:num>
  <w:num w:numId="11" w16cid:durableId="181629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01213"/>
    <w:rsid w:val="00026333"/>
    <w:rsid w:val="00027FAB"/>
    <w:rsid w:val="00034A30"/>
    <w:rsid w:val="00046F10"/>
    <w:rsid w:val="00054BFF"/>
    <w:rsid w:val="00056E38"/>
    <w:rsid w:val="00062FCC"/>
    <w:rsid w:val="000715B9"/>
    <w:rsid w:val="000827DD"/>
    <w:rsid w:val="000A5D2F"/>
    <w:rsid w:val="000B6F85"/>
    <w:rsid w:val="000B73DA"/>
    <w:rsid w:val="000C1BD3"/>
    <w:rsid w:val="000E075C"/>
    <w:rsid w:val="000F75FA"/>
    <w:rsid w:val="00127179"/>
    <w:rsid w:val="00162773"/>
    <w:rsid w:val="00177ED3"/>
    <w:rsid w:val="001A263B"/>
    <w:rsid w:val="001A3F00"/>
    <w:rsid w:val="001A790E"/>
    <w:rsid w:val="001C3B22"/>
    <w:rsid w:val="001D1B86"/>
    <w:rsid w:val="001E1CA6"/>
    <w:rsid w:val="001F2664"/>
    <w:rsid w:val="001F7137"/>
    <w:rsid w:val="00200B65"/>
    <w:rsid w:val="002068E8"/>
    <w:rsid w:val="002336D6"/>
    <w:rsid w:val="00236D00"/>
    <w:rsid w:val="002450E9"/>
    <w:rsid w:val="002461B0"/>
    <w:rsid w:val="0025240A"/>
    <w:rsid w:val="00257A98"/>
    <w:rsid w:val="00257D33"/>
    <w:rsid w:val="002743AD"/>
    <w:rsid w:val="00276D89"/>
    <w:rsid w:val="00282AB2"/>
    <w:rsid w:val="00296EF4"/>
    <w:rsid w:val="002A050E"/>
    <w:rsid w:val="002A55B3"/>
    <w:rsid w:val="002A7EAA"/>
    <w:rsid w:val="002C0647"/>
    <w:rsid w:val="002D5141"/>
    <w:rsid w:val="002D7188"/>
    <w:rsid w:val="002E2531"/>
    <w:rsid w:val="00306DFF"/>
    <w:rsid w:val="003071E9"/>
    <w:rsid w:val="00336CB1"/>
    <w:rsid w:val="00353A58"/>
    <w:rsid w:val="00374B51"/>
    <w:rsid w:val="00387D7D"/>
    <w:rsid w:val="003B12BF"/>
    <w:rsid w:val="003C3F56"/>
    <w:rsid w:val="003C41DF"/>
    <w:rsid w:val="003E19A4"/>
    <w:rsid w:val="003E6D8E"/>
    <w:rsid w:val="003E741A"/>
    <w:rsid w:val="003E772A"/>
    <w:rsid w:val="003E7803"/>
    <w:rsid w:val="003F239C"/>
    <w:rsid w:val="003F5D63"/>
    <w:rsid w:val="004010A5"/>
    <w:rsid w:val="00402266"/>
    <w:rsid w:val="00415BA5"/>
    <w:rsid w:val="004462F3"/>
    <w:rsid w:val="004739A6"/>
    <w:rsid w:val="00474C7A"/>
    <w:rsid w:val="00481FFD"/>
    <w:rsid w:val="00483F97"/>
    <w:rsid w:val="00486E67"/>
    <w:rsid w:val="00495E9A"/>
    <w:rsid w:val="004B67A7"/>
    <w:rsid w:val="004E5EAE"/>
    <w:rsid w:val="0050238E"/>
    <w:rsid w:val="00535C36"/>
    <w:rsid w:val="005425DA"/>
    <w:rsid w:val="0055239F"/>
    <w:rsid w:val="00553983"/>
    <w:rsid w:val="0057009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3E77"/>
    <w:rsid w:val="00687000"/>
    <w:rsid w:val="00690532"/>
    <w:rsid w:val="006A5858"/>
    <w:rsid w:val="006A59D7"/>
    <w:rsid w:val="006B1801"/>
    <w:rsid w:val="006D0AEE"/>
    <w:rsid w:val="006F2831"/>
    <w:rsid w:val="00710D1F"/>
    <w:rsid w:val="00721A6D"/>
    <w:rsid w:val="00732D06"/>
    <w:rsid w:val="007358D5"/>
    <w:rsid w:val="007401BD"/>
    <w:rsid w:val="007447EB"/>
    <w:rsid w:val="007554BA"/>
    <w:rsid w:val="0076016A"/>
    <w:rsid w:val="00766708"/>
    <w:rsid w:val="00773B7E"/>
    <w:rsid w:val="00775C20"/>
    <w:rsid w:val="00791B67"/>
    <w:rsid w:val="007A21FD"/>
    <w:rsid w:val="007B5CF2"/>
    <w:rsid w:val="007C35B1"/>
    <w:rsid w:val="007C59DD"/>
    <w:rsid w:val="007C777B"/>
    <w:rsid w:val="007E7CA5"/>
    <w:rsid w:val="007F4583"/>
    <w:rsid w:val="007F4D06"/>
    <w:rsid w:val="00806218"/>
    <w:rsid w:val="00823F7D"/>
    <w:rsid w:val="00853549"/>
    <w:rsid w:val="00861953"/>
    <w:rsid w:val="00866BF6"/>
    <w:rsid w:val="0088574B"/>
    <w:rsid w:val="008A4614"/>
    <w:rsid w:val="008A7281"/>
    <w:rsid w:val="008A7D12"/>
    <w:rsid w:val="008C5FB0"/>
    <w:rsid w:val="008D3191"/>
    <w:rsid w:val="008D749C"/>
    <w:rsid w:val="008E45CF"/>
    <w:rsid w:val="008F5E0D"/>
    <w:rsid w:val="008F7467"/>
    <w:rsid w:val="00902454"/>
    <w:rsid w:val="00903536"/>
    <w:rsid w:val="00904CCF"/>
    <w:rsid w:val="009112FC"/>
    <w:rsid w:val="00915010"/>
    <w:rsid w:val="00926C2F"/>
    <w:rsid w:val="00941046"/>
    <w:rsid w:val="00944D06"/>
    <w:rsid w:val="00955F9C"/>
    <w:rsid w:val="00982180"/>
    <w:rsid w:val="009A4EF9"/>
    <w:rsid w:val="009E3B3E"/>
    <w:rsid w:val="009F2C89"/>
    <w:rsid w:val="009F53A3"/>
    <w:rsid w:val="009F72CB"/>
    <w:rsid w:val="00A0792A"/>
    <w:rsid w:val="00A707E9"/>
    <w:rsid w:val="00A7188A"/>
    <w:rsid w:val="00A7329E"/>
    <w:rsid w:val="00A95085"/>
    <w:rsid w:val="00AB57E7"/>
    <w:rsid w:val="00AC28B5"/>
    <w:rsid w:val="00AC423C"/>
    <w:rsid w:val="00AD7F87"/>
    <w:rsid w:val="00AF1FB4"/>
    <w:rsid w:val="00B12D30"/>
    <w:rsid w:val="00B13645"/>
    <w:rsid w:val="00B16036"/>
    <w:rsid w:val="00B40083"/>
    <w:rsid w:val="00B44F8B"/>
    <w:rsid w:val="00B45A76"/>
    <w:rsid w:val="00B829CA"/>
    <w:rsid w:val="00B852FC"/>
    <w:rsid w:val="00B959BE"/>
    <w:rsid w:val="00BA39CA"/>
    <w:rsid w:val="00BB46BC"/>
    <w:rsid w:val="00BC67AB"/>
    <w:rsid w:val="00BE65A4"/>
    <w:rsid w:val="00BE6AD1"/>
    <w:rsid w:val="00BF46E7"/>
    <w:rsid w:val="00BF548D"/>
    <w:rsid w:val="00C0233A"/>
    <w:rsid w:val="00C03392"/>
    <w:rsid w:val="00C12FBA"/>
    <w:rsid w:val="00C176FF"/>
    <w:rsid w:val="00C27E6E"/>
    <w:rsid w:val="00C42215"/>
    <w:rsid w:val="00C52C54"/>
    <w:rsid w:val="00C64443"/>
    <w:rsid w:val="00C6774F"/>
    <w:rsid w:val="00C77654"/>
    <w:rsid w:val="00C870F9"/>
    <w:rsid w:val="00C94EF5"/>
    <w:rsid w:val="00CA142D"/>
    <w:rsid w:val="00CB4723"/>
    <w:rsid w:val="00CC1833"/>
    <w:rsid w:val="00CD0E65"/>
    <w:rsid w:val="00CD3757"/>
    <w:rsid w:val="00CD52CA"/>
    <w:rsid w:val="00CE1D50"/>
    <w:rsid w:val="00CF0984"/>
    <w:rsid w:val="00D14064"/>
    <w:rsid w:val="00D2066D"/>
    <w:rsid w:val="00D309B9"/>
    <w:rsid w:val="00D402B1"/>
    <w:rsid w:val="00D517EB"/>
    <w:rsid w:val="00D51ABF"/>
    <w:rsid w:val="00D54A2E"/>
    <w:rsid w:val="00D6048D"/>
    <w:rsid w:val="00D606A7"/>
    <w:rsid w:val="00D76532"/>
    <w:rsid w:val="00D92DE6"/>
    <w:rsid w:val="00D932A1"/>
    <w:rsid w:val="00DA56EA"/>
    <w:rsid w:val="00DD1843"/>
    <w:rsid w:val="00DD2596"/>
    <w:rsid w:val="00DE48FA"/>
    <w:rsid w:val="00DE4B91"/>
    <w:rsid w:val="00DF10FD"/>
    <w:rsid w:val="00E02FD0"/>
    <w:rsid w:val="00E55F26"/>
    <w:rsid w:val="00E61EAB"/>
    <w:rsid w:val="00E84A6F"/>
    <w:rsid w:val="00E87059"/>
    <w:rsid w:val="00E96A69"/>
    <w:rsid w:val="00EA1402"/>
    <w:rsid w:val="00EA446D"/>
    <w:rsid w:val="00EB3EF1"/>
    <w:rsid w:val="00EC67C7"/>
    <w:rsid w:val="00ED23C9"/>
    <w:rsid w:val="00ED5097"/>
    <w:rsid w:val="00EE1A07"/>
    <w:rsid w:val="00EE507C"/>
    <w:rsid w:val="00EF4F1B"/>
    <w:rsid w:val="00F01D77"/>
    <w:rsid w:val="00F024B2"/>
    <w:rsid w:val="00F260AF"/>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FCBC1A3"/>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0DFA-E300-4F0B-928E-15D0B19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製品比較表　セチリジン塩酸塩錠10「BMD」</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セチリジン塩酸塩錠10「BMD」</dc:title>
  <dc:creator>BIOWS27</dc:creator>
  <cp:lastModifiedBy>biows43 ビオメディクス</cp:lastModifiedBy>
  <cp:revision>5</cp:revision>
  <cp:lastPrinted>2021-03-15T08:06:00Z</cp:lastPrinted>
  <dcterms:created xsi:type="dcterms:W3CDTF">2024-02-20T07:45:00Z</dcterms:created>
  <dcterms:modified xsi:type="dcterms:W3CDTF">2025-03-13T02:07:00Z</dcterms:modified>
</cp:coreProperties>
</file>