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7F469" w14:textId="7C5F5A53" w:rsidR="002D7188" w:rsidRPr="00120E18" w:rsidRDefault="006148B0" w:rsidP="00AD7F87">
      <w:pPr>
        <w:spacing w:line="500" w:lineRule="exact"/>
        <w:jc w:val="center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b/>
          <w:noProof/>
          <w:sz w:val="32"/>
          <w:szCs w:val="32"/>
        </w:rPr>
        <w:t xml:space="preserve">　　</w:t>
      </w:r>
      <w:r w:rsidR="00D2066D" w:rsidRPr="00120E18">
        <w:rPr>
          <w:rFonts w:ascii="游ゴシック" w:eastAsia="游ゴシック" w:hAnsi="游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ABF83D" wp14:editId="165F0392">
                <wp:simplePos x="0" y="0"/>
                <wp:positionH relativeFrom="column">
                  <wp:posOffset>5692140</wp:posOffset>
                </wp:positionH>
                <wp:positionV relativeFrom="paragraph">
                  <wp:posOffset>-188595</wp:posOffset>
                </wp:positionV>
                <wp:extent cx="1049020" cy="257810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48949" w14:textId="50B04775" w:rsidR="00EA446D" w:rsidRPr="00120E18" w:rsidRDefault="0076016A" w:rsidP="002D7188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120E18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0F5AC4" w:rsidRPr="00120E18"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  <w:t>2</w:t>
                            </w:r>
                            <w:r w:rsidR="005A463C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="00EA446D" w:rsidRPr="00120E18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0B7F8D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８</w:t>
                            </w:r>
                            <w:r w:rsidRPr="00120E18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F075E5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作成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BF8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2pt;margin-top:-14.85pt;width:82.6pt;height:2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" filled="f" stroked="f">
                <v:textbox>
                  <w:txbxContent>
                    <w:p w14:paraId="27D48949" w14:textId="50B04775" w:rsidR="00EA446D" w:rsidRPr="00120E18" w:rsidRDefault="0076016A" w:rsidP="002D7188">
                      <w:pPr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</w:pPr>
                      <w:r w:rsidRPr="00120E18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20</w:t>
                      </w:r>
                      <w:r w:rsidR="000F5AC4" w:rsidRPr="00120E18"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  <w:t>2</w:t>
                      </w:r>
                      <w:r w:rsidR="005A463C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3</w:t>
                      </w:r>
                      <w:r w:rsidR="00EA446D" w:rsidRPr="00120E18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年</w:t>
                      </w:r>
                      <w:r w:rsidR="000B7F8D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８</w:t>
                      </w:r>
                      <w:r w:rsidRPr="00120E18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月</w:t>
                      </w:r>
                      <w:r w:rsidR="00F075E5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作成</w:t>
                      </w:r>
                    </w:p>
                  </w:txbxContent>
                </v:textbox>
              </v:shape>
            </w:pict>
          </mc:Fallback>
        </mc:AlternateContent>
      </w:r>
      <w:r w:rsidR="00486E67" w:rsidRPr="00120E18">
        <w:rPr>
          <w:rFonts w:ascii="游ゴシック" w:eastAsia="游ゴシック" w:hAnsi="游ゴシック" w:hint="eastAsia"/>
          <w:b/>
          <w:noProof/>
          <w:sz w:val="32"/>
          <w:szCs w:val="32"/>
        </w:rPr>
        <w:t>製品別比較表（案</w:t>
      </w:r>
      <w:r w:rsidR="007B5CF2" w:rsidRPr="00120E18">
        <w:rPr>
          <w:rFonts w:ascii="游ゴシック" w:eastAsia="游ゴシック" w:hAnsi="游ゴシック" w:hint="eastAsia"/>
          <w:b/>
          <w:sz w:val="32"/>
          <w:szCs w:val="32"/>
        </w:rPr>
        <w:t>）</w:t>
      </w:r>
    </w:p>
    <w:tbl>
      <w:tblPr>
        <w:tblW w:w="1049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02"/>
        <w:gridCol w:w="3009"/>
        <w:gridCol w:w="1685"/>
        <w:gridCol w:w="2133"/>
        <w:gridCol w:w="2561"/>
      </w:tblGrid>
      <w:tr w:rsidR="00F024B2" w:rsidRPr="00791B67" w14:paraId="59C4058A" w14:textId="77777777" w:rsidTr="005D70D3">
        <w:trPr>
          <w:trHeight w:val="350"/>
        </w:trPr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69481F62" w14:textId="77777777" w:rsidR="002D7188" w:rsidRPr="00120E18" w:rsidRDefault="002D7188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4694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EE8D822" w14:textId="5B3315FA" w:rsidR="002D7188" w:rsidRPr="00120E18" w:rsidRDefault="002D7188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後発品</w:t>
            </w:r>
          </w:p>
        </w:tc>
        <w:tc>
          <w:tcPr>
            <w:tcW w:w="4694" w:type="dxa"/>
            <w:gridSpan w:val="2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15B8488D" w14:textId="55610467" w:rsidR="002D7188" w:rsidRPr="00120E18" w:rsidRDefault="00AD7F8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標準</w:t>
            </w:r>
            <w:r w:rsidR="00AC16A6">
              <w:rPr>
                <w:rFonts w:ascii="游ゴシック" w:eastAsia="游ゴシック" w:hAnsi="游ゴシック" w:cstheme="majorHAnsi" w:hint="eastAsia"/>
                <w:b/>
                <w:szCs w:val="21"/>
              </w:rPr>
              <w:t>品</w:t>
            </w:r>
          </w:p>
        </w:tc>
      </w:tr>
      <w:tr w:rsidR="00486E67" w:rsidRPr="00791B67" w14:paraId="0A04E761" w14:textId="77777777" w:rsidTr="005D70D3">
        <w:trPr>
          <w:trHeight w:val="651"/>
        </w:trPr>
        <w:tc>
          <w:tcPr>
            <w:tcW w:w="1102" w:type="dxa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50156170" w14:textId="77777777" w:rsidR="00486E67" w:rsidRPr="00120E18" w:rsidRDefault="00486E6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会社名</w:t>
            </w:r>
          </w:p>
        </w:tc>
        <w:tc>
          <w:tcPr>
            <w:tcW w:w="4694" w:type="dxa"/>
            <w:gridSpan w:val="2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F47EB83" w14:textId="77777777" w:rsidR="00486E67" w:rsidRPr="00120E18" w:rsidRDefault="00486E6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szCs w:val="21"/>
              </w:rPr>
              <w:t>株式会社ビオメディクス</w:t>
            </w:r>
          </w:p>
        </w:tc>
        <w:tc>
          <w:tcPr>
            <w:tcW w:w="4694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6522FB05" w14:textId="77777777" w:rsidR="00486E67" w:rsidRPr="00120E18" w:rsidRDefault="00486E6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</w:p>
        </w:tc>
      </w:tr>
      <w:tr w:rsidR="00A1192C" w:rsidRPr="00791B67" w14:paraId="01938504" w14:textId="77777777" w:rsidTr="005D70D3">
        <w:trPr>
          <w:trHeight w:val="694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92D31AD" w14:textId="77777777" w:rsidR="00A1192C" w:rsidRPr="00120E18" w:rsidRDefault="00A1192C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製品名</w:t>
            </w:r>
          </w:p>
        </w:tc>
        <w:tc>
          <w:tcPr>
            <w:tcW w:w="4694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B0958DB" w14:textId="0C29888F" w:rsidR="00A102DA" w:rsidRDefault="00A102DA" w:rsidP="00F075E5">
            <w:pPr>
              <w:spacing w:line="280" w:lineRule="exact"/>
              <w:ind w:leftChars="-7" w:hangingChars="7" w:hanging="15"/>
              <w:rPr>
                <w:rFonts w:ascii="游ゴシック" w:eastAsia="游ゴシック" w:hAnsi="游ゴシック" w:cstheme="majorHAnsi"/>
                <w:szCs w:val="21"/>
              </w:rPr>
            </w:pPr>
            <w:r>
              <w:rPr>
                <w:rFonts w:ascii="游ゴシック" w:eastAsia="游ゴシック" w:hAnsi="游ゴシック" w:cstheme="majorHAnsi" w:hint="eastAsia"/>
                <w:szCs w:val="21"/>
              </w:rPr>
              <w:t>日本薬局方 イコサペント酸エチルカプセル</w:t>
            </w:r>
          </w:p>
          <w:p w14:paraId="55D7B7F3" w14:textId="44FDE364" w:rsidR="00A1192C" w:rsidRPr="00120E18" w:rsidRDefault="00F075E5" w:rsidP="00F075E5">
            <w:pPr>
              <w:spacing w:line="280" w:lineRule="exact"/>
              <w:ind w:leftChars="-7" w:hangingChars="7" w:hanging="15"/>
              <w:rPr>
                <w:rFonts w:ascii="游ゴシック" w:eastAsia="游ゴシック" w:hAnsi="游ゴシック" w:cstheme="majorHAnsi"/>
                <w:szCs w:val="21"/>
              </w:rPr>
            </w:pPr>
            <w:r>
              <w:rPr>
                <w:rFonts w:ascii="游ゴシック" w:eastAsia="游ゴシック" w:hAnsi="游ゴシック" w:cstheme="majorHAnsi" w:hint="eastAsia"/>
                <w:szCs w:val="21"/>
              </w:rPr>
              <w:t>イコサペント酸エチルカプセル300mg</w:t>
            </w:r>
            <w:r w:rsidR="00A1192C" w:rsidRPr="00120E18">
              <w:rPr>
                <w:rFonts w:ascii="游ゴシック" w:eastAsia="游ゴシック" w:hAnsi="游ゴシック" w:cstheme="majorHAnsi"/>
                <w:szCs w:val="21"/>
              </w:rPr>
              <w:t>「BMD」</w:t>
            </w:r>
          </w:p>
        </w:tc>
        <w:tc>
          <w:tcPr>
            <w:tcW w:w="4694" w:type="dxa"/>
            <w:gridSpan w:val="2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FB8DA17" w14:textId="5F895CA7" w:rsidR="00A1192C" w:rsidRPr="00120E18" w:rsidRDefault="00BA5E0C" w:rsidP="00120E18">
            <w:pPr>
              <w:spacing w:line="280" w:lineRule="exact"/>
              <w:ind w:leftChars="-7" w:hangingChars="7" w:hanging="15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  <w:r w:rsidRPr="00184F11">
              <w:rPr>
                <w:rFonts w:ascii="游ゴシック" w:eastAsia="游ゴシック" w:hAnsi="游ゴシック" w:cstheme="majorHAnsi" w:hint="eastAsia"/>
                <w:szCs w:val="21"/>
              </w:rPr>
              <w:t>エパデールカプセル</w:t>
            </w:r>
            <w:r w:rsidRPr="00184F11">
              <w:rPr>
                <w:rFonts w:ascii="游ゴシック" w:eastAsia="游ゴシック" w:hAnsi="游ゴシック" w:cstheme="majorHAnsi"/>
                <w:szCs w:val="21"/>
              </w:rPr>
              <w:t>300</w:t>
            </w:r>
          </w:p>
        </w:tc>
      </w:tr>
      <w:tr w:rsidR="00471ADA" w:rsidRPr="00791B67" w14:paraId="2DAA3E49" w14:textId="77777777" w:rsidTr="005D70D3">
        <w:trPr>
          <w:trHeight w:val="718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362AA12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薬　価</w:t>
            </w:r>
          </w:p>
        </w:tc>
        <w:tc>
          <w:tcPr>
            <w:tcW w:w="4694" w:type="dxa"/>
            <w:gridSpan w:val="2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813F27" w14:textId="04E831ED" w:rsidR="00D008CC" w:rsidRDefault="00F075E5" w:rsidP="00D008CC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1</w:t>
            </w:r>
            <w:r w:rsidR="005A463C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3</w:t>
            </w:r>
            <w:r w:rsidR="00C12205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.</w:t>
            </w:r>
            <w:r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0</w:t>
            </w:r>
            <w:r w:rsidR="00C12205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0</w:t>
            </w:r>
            <w:r w:rsidR="00C12205" w:rsidRPr="00C12205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円／カプセル</w:t>
            </w:r>
          </w:p>
          <w:p w14:paraId="4B23302F" w14:textId="76D2E9E2" w:rsidR="0039173E" w:rsidRPr="00120E18" w:rsidRDefault="0039173E" w:rsidP="0039173E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（標準品との差：12.40円/１カプセル）</w:t>
            </w:r>
          </w:p>
        </w:tc>
        <w:tc>
          <w:tcPr>
            <w:tcW w:w="4694" w:type="dxa"/>
            <w:gridSpan w:val="2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FFC5088" w14:textId="66E8B482" w:rsidR="00471ADA" w:rsidRPr="00120E18" w:rsidRDefault="00F075E5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25</w:t>
            </w:r>
            <w:r w:rsidR="0004126C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.</w:t>
            </w:r>
            <w:r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4</w:t>
            </w:r>
            <w:r w:rsidR="0004126C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0</w:t>
            </w:r>
            <w:r w:rsidR="00471ADA" w:rsidRPr="00120E18">
              <w:rPr>
                <w:rFonts w:ascii="游ゴシック" w:eastAsia="游ゴシック" w:hAnsi="游ゴシック" w:cstheme="majorHAnsi"/>
                <w:color w:val="000000"/>
                <w:szCs w:val="21"/>
              </w:rPr>
              <w:t>円／カプセル</w:t>
            </w:r>
          </w:p>
        </w:tc>
      </w:tr>
      <w:tr w:rsidR="00471ADA" w:rsidRPr="00791B67" w14:paraId="03A4B8C2" w14:textId="77777777" w:rsidTr="005D70D3">
        <w:trPr>
          <w:trHeight w:val="592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72437EE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規　格</w:t>
            </w:r>
          </w:p>
        </w:tc>
        <w:tc>
          <w:tcPr>
            <w:tcW w:w="9388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3829541" w14:textId="08568D2E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szCs w:val="21"/>
              </w:rPr>
              <w:t>１カプセル中</w:t>
            </w:r>
            <w:r w:rsidR="007D533B">
              <w:rPr>
                <w:rFonts w:ascii="游ゴシック" w:eastAsia="游ゴシック" w:hAnsi="游ゴシック" w:cstheme="majorHAnsi" w:hint="eastAsia"/>
                <w:szCs w:val="21"/>
              </w:rPr>
              <w:t xml:space="preserve">　</w:t>
            </w:r>
            <w:r w:rsidR="003A07F7">
              <w:rPr>
                <w:rFonts w:ascii="游ゴシック" w:eastAsia="游ゴシック" w:hAnsi="游ゴシック" w:cstheme="majorHAnsi" w:hint="eastAsia"/>
                <w:szCs w:val="21"/>
              </w:rPr>
              <w:t>日局</w:t>
            </w:r>
            <w:r w:rsidR="00F075E5">
              <w:rPr>
                <w:rFonts w:ascii="游ゴシック" w:eastAsia="游ゴシック" w:hAnsi="游ゴシック" w:cstheme="majorHAnsi" w:hint="eastAsia"/>
                <w:szCs w:val="21"/>
              </w:rPr>
              <w:t>イコサペント酸エチル300</w:t>
            </w:r>
            <w:r w:rsidR="00BD5087" w:rsidRPr="00120E18">
              <w:rPr>
                <w:rFonts w:ascii="游ゴシック" w:eastAsia="游ゴシック" w:hAnsi="游ゴシック" w:cstheme="majorHAnsi"/>
                <w:szCs w:val="21"/>
              </w:rPr>
              <w:t>mg</w:t>
            </w:r>
            <w:r w:rsidR="003A07F7">
              <w:rPr>
                <w:rFonts w:ascii="游ゴシック" w:eastAsia="游ゴシック" w:hAnsi="游ゴシック" w:cstheme="majorHAnsi" w:hint="eastAsia"/>
                <w:szCs w:val="21"/>
              </w:rPr>
              <w:t>含有</w:t>
            </w:r>
          </w:p>
        </w:tc>
      </w:tr>
      <w:tr w:rsidR="00471ADA" w:rsidRPr="00791B67" w14:paraId="2308EEE1" w14:textId="77777777" w:rsidTr="005D70D3">
        <w:trPr>
          <w:trHeight w:val="574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1508B4B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pacing w:val="79"/>
                <w:kern w:val="0"/>
                <w:szCs w:val="21"/>
                <w:fitText w:val="579" w:id="-377303296"/>
              </w:rPr>
              <w:t>薬</w:t>
            </w:r>
            <w:r w:rsidRPr="00120E18">
              <w:rPr>
                <w:rFonts w:ascii="游ゴシック" w:eastAsia="游ゴシック" w:hAnsi="游ゴシック" w:cstheme="majorHAnsi"/>
                <w:b/>
                <w:kern w:val="0"/>
                <w:szCs w:val="21"/>
                <w:fitText w:val="579" w:id="-377303296"/>
              </w:rPr>
              <w:t>効</w:t>
            </w:r>
          </w:p>
          <w:p w14:paraId="69FCAB83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分類名</w:t>
            </w:r>
          </w:p>
        </w:tc>
        <w:tc>
          <w:tcPr>
            <w:tcW w:w="9388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4CB6AE" w14:textId="64A5C89E" w:rsidR="00471ADA" w:rsidRPr="00120E18" w:rsidRDefault="00F075E5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  <w:r w:rsidRPr="00F075E5">
              <w:rPr>
                <w:rFonts w:ascii="游ゴシック" w:eastAsia="游ゴシック" w:hAnsi="游ゴシック" w:cstheme="majorHAnsi" w:hint="eastAsia"/>
                <w:szCs w:val="21"/>
              </w:rPr>
              <w:t>ＥＰＡ製剤</w:t>
            </w:r>
          </w:p>
        </w:tc>
      </w:tr>
      <w:tr w:rsidR="00BD5087" w:rsidRPr="00791B67" w14:paraId="420C3C92" w14:textId="77777777" w:rsidTr="005D70D3">
        <w:trPr>
          <w:trHeight w:val="718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8C0F406" w14:textId="77777777" w:rsidR="00BD5087" w:rsidRDefault="00BD508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  <w:t>効　能</w:t>
            </w:r>
          </w:p>
          <w:p w14:paraId="0E3068D1" w14:textId="6E8D30E0" w:rsidR="0039173E" w:rsidRPr="00120E18" w:rsidRDefault="0039173E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  <w:r>
              <w:rPr>
                <w:rFonts w:ascii="游ゴシック" w:eastAsia="游ゴシック" w:hAnsi="游ゴシック" w:cstheme="majorHAnsi" w:hint="eastAsia"/>
                <w:b/>
                <w:kern w:val="0"/>
                <w:szCs w:val="21"/>
              </w:rPr>
              <w:t>・</w:t>
            </w:r>
          </w:p>
          <w:p w14:paraId="0D5E4C32" w14:textId="77777777" w:rsidR="00BD5087" w:rsidRPr="00120E18" w:rsidRDefault="00BD508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  <w:t>効　果</w:t>
            </w:r>
          </w:p>
        </w:tc>
        <w:tc>
          <w:tcPr>
            <w:tcW w:w="9388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4364DBD" w14:textId="77777777" w:rsidR="00F075E5" w:rsidRPr="00F075E5" w:rsidRDefault="00F075E5" w:rsidP="005D70D3">
            <w:pPr>
              <w:spacing w:line="280" w:lineRule="exact"/>
              <w:jc w:val="left"/>
              <w:rPr>
                <w:rFonts w:ascii="游ゴシック" w:eastAsia="游ゴシック" w:hAnsi="游ゴシック" w:cstheme="majorHAnsi"/>
                <w:szCs w:val="21"/>
              </w:rPr>
            </w:pPr>
            <w:r w:rsidRPr="00F075E5">
              <w:rPr>
                <w:rFonts w:ascii="游ゴシック" w:eastAsia="游ゴシック" w:hAnsi="游ゴシック" w:cstheme="majorHAnsi" w:hint="eastAsia"/>
                <w:szCs w:val="21"/>
              </w:rPr>
              <w:t>閉塞性動脈硬化症に伴う潰瘍、疼痛および冷感の改善</w:t>
            </w:r>
          </w:p>
          <w:p w14:paraId="759DCE9C" w14:textId="4DA74373" w:rsidR="00BD5087" w:rsidRPr="00120E18" w:rsidRDefault="00F075E5" w:rsidP="005D70D3">
            <w:pPr>
              <w:spacing w:line="280" w:lineRule="exact"/>
              <w:jc w:val="left"/>
              <w:rPr>
                <w:rFonts w:ascii="游ゴシック" w:eastAsia="游ゴシック" w:hAnsi="游ゴシック" w:cstheme="majorHAnsi"/>
                <w:szCs w:val="21"/>
              </w:rPr>
            </w:pPr>
            <w:r w:rsidRPr="00F075E5">
              <w:rPr>
                <w:rFonts w:ascii="游ゴシック" w:eastAsia="游ゴシック" w:hAnsi="游ゴシック" w:cstheme="majorHAnsi" w:hint="eastAsia"/>
                <w:szCs w:val="21"/>
              </w:rPr>
              <w:t>高脂血症</w:t>
            </w:r>
            <w:r w:rsidR="004B7FA6">
              <w:rPr>
                <w:rFonts w:ascii="游ゴシック" w:eastAsia="游ゴシック" w:hAnsi="游ゴシック" w:cstheme="majorHAnsi" w:hint="eastAsia"/>
                <w:szCs w:val="21"/>
              </w:rPr>
              <w:t xml:space="preserve">　　　　　　　　　　　　　　　　　　　　　　　　　　　</w:t>
            </w:r>
            <w:r w:rsidR="00D008CC">
              <w:rPr>
                <w:rFonts w:ascii="游ゴシック" w:eastAsia="游ゴシック" w:hAnsi="游ゴシック" w:cstheme="majorHAnsi" w:hint="eastAsia"/>
                <w:szCs w:val="21"/>
              </w:rPr>
              <w:t xml:space="preserve">　　　</w:t>
            </w:r>
            <w:r w:rsidR="0010157D">
              <w:rPr>
                <w:rFonts w:ascii="游ゴシック" w:eastAsia="游ゴシック" w:hAnsi="游ゴシック" w:cstheme="majorHAnsi" w:hint="eastAsia"/>
                <w:szCs w:val="21"/>
              </w:rPr>
              <w:t>【</w:t>
            </w:r>
            <w:r w:rsidR="004B7FA6" w:rsidRPr="005D70D3">
              <w:rPr>
                <w:rFonts w:ascii="游ゴシック" w:eastAsia="游ゴシック" w:hAnsi="游ゴシック" w:cstheme="majorHAnsi" w:hint="eastAsia"/>
                <w:b/>
                <w:bCs/>
                <w:szCs w:val="21"/>
              </w:rPr>
              <w:t>標準品と同じ</w:t>
            </w:r>
            <w:r w:rsidR="0010157D">
              <w:rPr>
                <w:rFonts w:ascii="游ゴシック" w:eastAsia="游ゴシック" w:hAnsi="游ゴシック" w:cstheme="majorHAnsi" w:hint="eastAsia"/>
                <w:szCs w:val="21"/>
              </w:rPr>
              <w:t>】</w:t>
            </w:r>
          </w:p>
        </w:tc>
      </w:tr>
      <w:tr w:rsidR="004C396D" w:rsidRPr="00791B67" w14:paraId="3D6D7BD2" w14:textId="77777777" w:rsidTr="005D70D3">
        <w:trPr>
          <w:trHeight w:val="2663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A7C774A" w14:textId="77777777" w:rsidR="004C396D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  <w:t>用　法</w:t>
            </w:r>
          </w:p>
          <w:p w14:paraId="60A98CA4" w14:textId="2644DB67" w:rsidR="0039173E" w:rsidRPr="00120E18" w:rsidRDefault="0039173E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  <w:r>
              <w:rPr>
                <w:rFonts w:ascii="游ゴシック" w:eastAsia="游ゴシック" w:hAnsi="游ゴシック" w:cstheme="majorHAnsi" w:hint="eastAsia"/>
                <w:b/>
                <w:kern w:val="0"/>
                <w:szCs w:val="21"/>
              </w:rPr>
              <w:t>・</w:t>
            </w:r>
          </w:p>
          <w:p w14:paraId="43F9524F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  <w:t>用　量</w:t>
            </w:r>
          </w:p>
        </w:tc>
        <w:tc>
          <w:tcPr>
            <w:tcW w:w="9388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E95500B" w14:textId="77777777" w:rsidR="00F075E5" w:rsidRPr="005D70D3" w:rsidRDefault="00F075E5" w:rsidP="00F075E5">
            <w:pPr>
              <w:spacing w:line="280" w:lineRule="exact"/>
              <w:ind w:leftChars="-2" w:left="-4"/>
              <w:jc w:val="left"/>
              <w:rPr>
                <w:rFonts w:ascii="游ゴシック" w:eastAsia="游ゴシック" w:hAnsi="游ゴシック" w:cstheme="majorHAnsi"/>
                <w:b/>
                <w:bCs/>
                <w:color w:val="000000" w:themeColor="text1"/>
                <w:szCs w:val="21"/>
              </w:rPr>
            </w:pPr>
            <w:r w:rsidRPr="005D70D3">
              <w:rPr>
                <w:rFonts w:ascii="游ゴシック" w:eastAsia="游ゴシック" w:hAnsi="游ゴシック" w:cstheme="majorHAnsi" w:hint="eastAsia"/>
                <w:b/>
                <w:bCs/>
                <w:color w:val="000000" w:themeColor="text1"/>
                <w:szCs w:val="21"/>
              </w:rPr>
              <w:t>・閉塞性動脈硬化症に伴う潰瘍、疼痛および冷感の改善</w:t>
            </w:r>
          </w:p>
          <w:p w14:paraId="2DFF7DE8" w14:textId="77777777" w:rsidR="00587D42" w:rsidRDefault="00F075E5" w:rsidP="00587D42">
            <w:pPr>
              <w:spacing w:line="280" w:lineRule="exact"/>
              <w:ind w:leftChars="-2" w:left="-4" w:firstLineChars="100" w:firstLine="215"/>
              <w:jc w:val="left"/>
              <w:rPr>
                <w:rFonts w:ascii="游ゴシック" w:eastAsia="游ゴシック" w:hAnsi="游ゴシック" w:cstheme="majorHAnsi"/>
                <w:color w:val="000000" w:themeColor="text1"/>
                <w:szCs w:val="21"/>
              </w:rPr>
            </w:pPr>
            <w:r w:rsidRPr="00086612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>イコサペント酸エチルとして、通常、成人１回600mg(２カプセル)を１日３回、毎食直後に</w:t>
            </w:r>
          </w:p>
          <w:p w14:paraId="1BFCB27E" w14:textId="1E86A1F2" w:rsidR="00921A7F" w:rsidRDefault="00F075E5" w:rsidP="005D70D3">
            <w:pPr>
              <w:spacing w:line="280" w:lineRule="exact"/>
              <w:ind w:leftChars="-2" w:left="-4" w:firstLineChars="100" w:firstLine="215"/>
              <w:jc w:val="left"/>
              <w:rPr>
                <w:rFonts w:ascii="游ゴシック" w:eastAsia="游ゴシック" w:hAnsi="游ゴシック" w:cstheme="majorHAnsi"/>
                <w:color w:val="000000" w:themeColor="text1"/>
                <w:szCs w:val="21"/>
              </w:rPr>
            </w:pPr>
            <w:r w:rsidRPr="00086612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>経口投与する。</w:t>
            </w:r>
          </w:p>
          <w:p w14:paraId="3720A4B2" w14:textId="1173A139" w:rsidR="00F075E5" w:rsidRPr="00086612" w:rsidRDefault="00F075E5" w:rsidP="005D70D3">
            <w:pPr>
              <w:spacing w:line="280" w:lineRule="exact"/>
              <w:ind w:leftChars="-2" w:left="-4" w:firstLineChars="100" w:firstLine="215"/>
              <w:jc w:val="left"/>
              <w:rPr>
                <w:rFonts w:ascii="游ゴシック" w:eastAsia="游ゴシック" w:hAnsi="游ゴシック" w:cstheme="majorHAnsi"/>
                <w:color w:val="000000" w:themeColor="text1"/>
                <w:szCs w:val="21"/>
              </w:rPr>
            </w:pPr>
            <w:r w:rsidRPr="00086612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>なお、年齢、症状により、適宜増減する。</w:t>
            </w:r>
          </w:p>
          <w:p w14:paraId="7A5B24EA" w14:textId="77777777" w:rsidR="00F075E5" w:rsidRPr="005D70D3" w:rsidRDefault="00F075E5" w:rsidP="00F075E5">
            <w:pPr>
              <w:spacing w:line="280" w:lineRule="exact"/>
              <w:ind w:leftChars="-2" w:left="-4"/>
              <w:jc w:val="left"/>
              <w:rPr>
                <w:rFonts w:ascii="游ゴシック" w:eastAsia="游ゴシック" w:hAnsi="游ゴシック" w:cstheme="majorHAnsi"/>
                <w:b/>
                <w:bCs/>
                <w:color w:val="000000" w:themeColor="text1"/>
                <w:szCs w:val="21"/>
              </w:rPr>
            </w:pPr>
            <w:r w:rsidRPr="005D70D3">
              <w:rPr>
                <w:rFonts w:ascii="游ゴシック" w:eastAsia="游ゴシック" w:hAnsi="游ゴシック" w:cstheme="majorHAnsi" w:hint="eastAsia"/>
                <w:b/>
                <w:bCs/>
                <w:color w:val="000000" w:themeColor="text1"/>
                <w:szCs w:val="21"/>
              </w:rPr>
              <w:t>・高脂血症</w:t>
            </w:r>
          </w:p>
          <w:p w14:paraId="487F301A" w14:textId="77777777" w:rsidR="00587D42" w:rsidRDefault="00F075E5" w:rsidP="00587D42">
            <w:pPr>
              <w:spacing w:line="280" w:lineRule="exact"/>
              <w:ind w:leftChars="-2" w:left="-4" w:firstLineChars="100" w:firstLine="215"/>
              <w:jc w:val="left"/>
              <w:rPr>
                <w:rFonts w:ascii="游ゴシック" w:eastAsia="游ゴシック" w:hAnsi="游ゴシック" w:cstheme="majorHAnsi"/>
                <w:color w:val="000000" w:themeColor="text1"/>
                <w:szCs w:val="21"/>
              </w:rPr>
            </w:pPr>
            <w:r w:rsidRPr="00086612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>イコサペント酸エチルとして、通常、成人１回900mg(３カプセル)を１日２回又は１回</w:t>
            </w:r>
          </w:p>
          <w:p w14:paraId="4666D6F9" w14:textId="77777777" w:rsidR="005D70D3" w:rsidRDefault="00F075E5" w:rsidP="005D70D3">
            <w:pPr>
              <w:spacing w:line="280" w:lineRule="exact"/>
              <w:ind w:leftChars="100" w:left="215"/>
              <w:jc w:val="left"/>
              <w:rPr>
                <w:rFonts w:ascii="游ゴシック" w:eastAsia="游ゴシック" w:hAnsi="游ゴシック" w:cstheme="majorHAnsi"/>
                <w:color w:val="000000" w:themeColor="text1"/>
                <w:szCs w:val="21"/>
              </w:rPr>
            </w:pPr>
            <w:r w:rsidRPr="00086612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>600mg(２カプセル)を１日３回、食直後に経口投与する。ただし、トリグリセリドの異常を呈する場合には、その程度により、１回900mg(３カプセル)、１日３回まで増量できる。</w:t>
            </w:r>
          </w:p>
          <w:p w14:paraId="4ED78747" w14:textId="7F10E67A" w:rsidR="004B7FA6" w:rsidRPr="005D70D3" w:rsidRDefault="00D008CC" w:rsidP="005D70D3">
            <w:pPr>
              <w:spacing w:line="280" w:lineRule="exact"/>
              <w:ind w:leftChars="100" w:left="215" w:firstLineChars="700" w:firstLine="1508"/>
              <w:jc w:val="left"/>
              <w:rPr>
                <w:rFonts w:ascii="游ゴシック" w:eastAsia="游ゴシック" w:hAnsi="游ゴシック" w:cstheme="majorHAnsi"/>
                <w:color w:val="000000" w:themeColor="text1"/>
                <w:szCs w:val="21"/>
              </w:rPr>
            </w:pPr>
            <w:r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 xml:space="preserve">　　　　　　　　　　　　　　　　　　　</w:t>
            </w:r>
            <w:r w:rsidR="005D70D3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 xml:space="preserve">　　　　　　　</w:t>
            </w:r>
            <w:r w:rsidR="0010157D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>【</w:t>
            </w:r>
            <w:r w:rsidR="004B7FA6" w:rsidRPr="005D70D3">
              <w:rPr>
                <w:rFonts w:ascii="游ゴシック" w:eastAsia="游ゴシック" w:hAnsi="游ゴシック" w:cstheme="majorHAnsi" w:hint="eastAsia"/>
                <w:b/>
                <w:bCs/>
                <w:szCs w:val="21"/>
              </w:rPr>
              <w:t>標準品と同じ</w:t>
            </w:r>
            <w:r w:rsidR="0010157D">
              <w:rPr>
                <w:rFonts w:ascii="游ゴシック" w:eastAsia="游ゴシック" w:hAnsi="游ゴシック" w:cstheme="majorHAnsi" w:hint="eastAsia"/>
                <w:szCs w:val="21"/>
              </w:rPr>
              <w:t>】</w:t>
            </w:r>
          </w:p>
        </w:tc>
      </w:tr>
      <w:tr w:rsidR="00471ADA" w:rsidRPr="00791B67" w14:paraId="07D6A5A9" w14:textId="77777777" w:rsidTr="005D70D3">
        <w:trPr>
          <w:trHeight w:val="1127"/>
        </w:trPr>
        <w:tc>
          <w:tcPr>
            <w:tcW w:w="1102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C33F6A4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添加物</w:t>
            </w:r>
          </w:p>
        </w:tc>
        <w:tc>
          <w:tcPr>
            <w:tcW w:w="4694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14:paraId="008A2CDD" w14:textId="10E4E3F7" w:rsidR="00471ADA" w:rsidRPr="00120E18" w:rsidRDefault="00086612" w:rsidP="00120E18">
            <w:pPr>
              <w:spacing w:line="280" w:lineRule="exact"/>
              <w:ind w:leftChars="-2" w:left="-4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 w:rsidRPr="00086612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トコフェロール、コハク化ゼラチン、ゼラチン、グリセリン、エチルパラベン、プロピルパラベン</w:t>
            </w:r>
          </w:p>
        </w:tc>
        <w:tc>
          <w:tcPr>
            <w:tcW w:w="4694" w:type="dxa"/>
            <w:gridSpan w:val="2"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4FE7B9FB" w14:textId="78C6F374" w:rsidR="00471ADA" w:rsidRPr="00921A7F" w:rsidRDefault="00921A7F" w:rsidP="00086612">
            <w:pPr>
              <w:spacing w:line="280" w:lineRule="exact"/>
              <w:ind w:leftChars="-2" w:left="-4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 w:rsidRPr="00921A7F">
              <w:rPr>
                <w:rFonts w:ascii="游ゴシック" w:eastAsia="游ゴシック" w:hAnsi="游ゴシック" w:hint="eastAsia"/>
                <w:color w:val="000000"/>
                <w:szCs w:val="21"/>
              </w:rPr>
              <w:t>内容物：トコフェロール</w:t>
            </w:r>
            <w:r w:rsidRPr="00921A7F">
              <w:rPr>
                <w:rFonts w:ascii="游ゴシック" w:eastAsia="游ゴシック" w:hAnsi="游ゴシック" w:hint="eastAsia"/>
                <w:color w:val="000000"/>
                <w:szCs w:val="21"/>
              </w:rPr>
              <w:br/>
              <w:t>カプセル：ゼラチン、コハク化ゼラチン、濃グリセリン、パラオキシ安息香酸エチル、パラオキシ安息香酸プロピル</w:t>
            </w:r>
          </w:p>
        </w:tc>
      </w:tr>
      <w:tr w:rsidR="004C396D" w:rsidRPr="00791B67" w14:paraId="59D49111" w14:textId="77777777" w:rsidTr="005D70D3">
        <w:trPr>
          <w:trHeight w:val="321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09DEA4F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w w:val="91"/>
                <w:kern w:val="0"/>
                <w:szCs w:val="21"/>
                <w:fitText w:val="579" w:id="-85842943"/>
              </w:rPr>
              <w:t>性</w:t>
            </w:r>
            <w:r w:rsidRPr="00120E18">
              <w:rPr>
                <w:rFonts w:ascii="游ゴシック" w:eastAsia="游ゴシック" w:hAnsi="游ゴシック" w:cstheme="majorHAnsi" w:hint="eastAsia"/>
                <w:b/>
                <w:w w:val="91"/>
                <w:kern w:val="0"/>
                <w:szCs w:val="21"/>
                <w:fitText w:val="579" w:id="-85842943"/>
              </w:rPr>
              <w:t xml:space="preserve">　</w:t>
            </w:r>
            <w:r w:rsidRPr="00120E18">
              <w:rPr>
                <w:rFonts w:ascii="游ゴシック" w:eastAsia="游ゴシック" w:hAnsi="游ゴシック" w:cstheme="majorHAnsi"/>
                <w:b/>
                <w:spacing w:val="2"/>
                <w:w w:val="91"/>
                <w:kern w:val="0"/>
                <w:szCs w:val="21"/>
                <w:fitText w:val="579" w:id="-85842943"/>
              </w:rPr>
              <w:t>状</w:t>
            </w:r>
          </w:p>
        </w:tc>
        <w:tc>
          <w:tcPr>
            <w:tcW w:w="3009" w:type="dxa"/>
            <w:vMerge w:val="restart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14:paraId="2FE62E43" w14:textId="150F7D29" w:rsidR="00DC391B" w:rsidRDefault="00086612" w:rsidP="00120E18">
            <w:pPr>
              <w:spacing w:line="280" w:lineRule="exact"/>
              <w:ind w:leftChars="25" w:left="56" w:hanging="2"/>
              <w:jc w:val="left"/>
              <w:rPr>
                <w:rFonts w:ascii="游ゴシック" w:eastAsia="游ゴシック" w:hAnsi="游ゴシック" w:cstheme="majorHAnsi"/>
                <w:szCs w:val="21"/>
              </w:rPr>
            </w:pPr>
            <w:r w:rsidRPr="00086612">
              <w:rPr>
                <w:rFonts w:ascii="游ゴシック" w:eastAsia="游ゴシック" w:hAnsi="游ゴシック" w:cstheme="majorHAnsi" w:hint="eastAsia"/>
                <w:szCs w:val="21"/>
              </w:rPr>
              <w:t>淡黄色透明な楕円球の軟カプセル剤</w:t>
            </w:r>
            <w:r w:rsidR="007D533B">
              <w:rPr>
                <w:rFonts w:ascii="游ゴシック" w:eastAsia="游ゴシック" w:hAnsi="游ゴシック" w:cstheme="majorHAnsi" w:hint="eastAsia"/>
                <w:szCs w:val="21"/>
              </w:rPr>
              <w:t>で内容物は無色～微黄色の澄明な液である。</w:t>
            </w:r>
          </w:p>
          <w:p w14:paraId="1473EFC2" w14:textId="13AD2E3F" w:rsidR="007D533B" w:rsidRPr="00120E18" w:rsidRDefault="007D533B" w:rsidP="00120E18">
            <w:pPr>
              <w:spacing w:line="280" w:lineRule="exact"/>
              <w:ind w:leftChars="25" w:left="56" w:hanging="2"/>
              <w:jc w:val="left"/>
              <w:rPr>
                <w:rFonts w:ascii="游ゴシック" w:eastAsia="游ゴシック" w:hAnsi="游ゴシック" w:cstheme="majorHAnsi"/>
                <w:szCs w:val="21"/>
              </w:rPr>
            </w:pPr>
            <w:r>
              <w:rPr>
                <w:rFonts w:ascii="游ゴシック" w:eastAsia="游ゴシック" w:hAnsi="游ゴシック" w:cstheme="majorHAnsi" w:hint="eastAsia"/>
                <w:szCs w:val="21"/>
              </w:rPr>
              <w:t>識別コード</w:t>
            </w:r>
            <w:r w:rsidR="00C322D7">
              <w:rPr>
                <w:rFonts w:ascii="游ゴシック" w:eastAsia="游ゴシック" w:hAnsi="游ゴシック" w:cstheme="majorHAnsi" w:hint="eastAsia"/>
                <w:szCs w:val="21"/>
              </w:rPr>
              <w:t>（PTP</w:t>
            </w:r>
            <w:r w:rsidR="00C322D7">
              <w:rPr>
                <w:rFonts w:ascii="游ゴシック" w:eastAsia="游ゴシック" w:hAnsi="游ゴシック" w:cstheme="majorHAnsi"/>
                <w:szCs w:val="21"/>
              </w:rPr>
              <w:t>）</w:t>
            </w:r>
            <w:r>
              <w:rPr>
                <w:rFonts w:ascii="游ゴシック" w:eastAsia="游ゴシック" w:hAnsi="游ゴシック" w:cstheme="majorHAnsi" w:hint="eastAsia"/>
                <w:szCs w:val="21"/>
              </w:rPr>
              <w:t>:</w:t>
            </w:r>
            <w:r>
              <w:rPr>
                <w:rFonts w:ascii="游ゴシック" w:eastAsia="游ゴシック" w:hAnsi="游ゴシック" w:cstheme="majorHAnsi"/>
                <w:szCs w:val="21"/>
              </w:rPr>
              <w:t>BMD65</w:t>
            </w:r>
          </w:p>
        </w:tc>
        <w:tc>
          <w:tcPr>
            <w:tcW w:w="1685" w:type="dxa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14:paraId="3EC19641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  <w:t>長径 （mm）</w:t>
            </w:r>
          </w:p>
        </w:tc>
        <w:tc>
          <w:tcPr>
            <w:tcW w:w="2133" w:type="dxa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14:paraId="23AE1EF8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  <w:t>短径</w:t>
            </w:r>
            <w:r w:rsidRPr="00120E18">
              <w:rPr>
                <w:rFonts w:ascii="游ゴシック" w:eastAsia="游ゴシック" w:hAnsi="游ゴシック" w:cstheme="majorHAnsi" w:hint="eastAsia"/>
                <w:color w:val="000000"/>
                <w:kern w:val="0"/>
                <w:szCs w:val="21"/>
              </w:rPr>
              <w:t xml:space="preserve"> （</w:t>
            </w:r>
            <w:r w:rsidRPr="00120E18"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  <w:t>mm</w:t>
            </w:r>
            <w:r w:rsidRPr="00120E18">
              <w:rPr>
                <w:rFonts w:ascii="游ゴシック" w:eastAsia="游ゴシック" w:hAnsi="游ゴシック" w:cstheme="majorHAns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61" w:type="dxa"/>
            <w:tcBorders>
              <w:top w:val="single" w:sz="6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69E6E463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  <w:t>重量 （mg）</w:t>
            </w:r>
          </w:p>
        </w:tc>
      </w:tr>
      <w:tr w:rsidR="004C396D" w:rsidRPr="00791B67" w14:paraId="580A22B3" w14:textId="77777777" w:rsidTr="005D70D3">
        <w:trPr>
          <w:trHeight w:val="243"/>
        </w:trPr>
        <w:tc>
          <w:tcPr>
            <w:tcW w:w="110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ACE109E" w14:textId="77777777" w:rsidR="004C396D" w:rsidRPr="00120E18" w:rsidRDefault="004C396D" w:rsidP="00120E18">
            <w:pPr>
              <w:spacing w:line="280" w:lineRule="exact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</w:p>
        </w:tc>
        <w:tc>
          <w:tcPr>
            <w:tcW w:w="3009" w:type="dxa"/>
            <w:vMerge/>
            <w:tcBorders>
              <w:left w:val="single" w:sz="12" w:space="0" w:color="000000"/>
            </w:tcBorders>
          </w:tcPr>
          <w:p w14:paraId="5E605643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</w:p>
        </w:tc>
        <w:tc>
          <w:tcPr>
            <w:tcW w:w="1685" w:type="dxa"/>
            <w:tcBorders>
              <w:top w:val="dotted" w:sz="4" w:space="0" w:color="auto"/>
            </w:tcBorders>
            <w:vAlign w:val="center"/>
          </w:tcPr>
          <w:p w14:paraId="30DA3284" w14:textId="1B755583" w:rsidR="004C396D" w:rsidRPr="00120E18" w:rsidRDefault="00086612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  <w:r w:rsidRPr="00086612">
              <w:rPr>
                <w:rFonts w:ascii="游ゴシック" w:eastAsia="游ゴシック" w:hAnsi="游ゴシック" w:cstheme="majorHAnsi" w:hint="eastAsia"/>
                <w:color w:val="000000"/>
                <w:kern w:val="0"/>
                <w:szCs w:val="21"/>
              </w:rPr>
              <w:t>約18</w:t>
            </w:r>
          </w:p>
        </w:tc>
        <w:tc>
          <w:tcPr>
            <w:tcW w:w="2133" w:type="dxa"/>
            <w:tcBorders>
              <w:top w:val="dotted" w:sz="4" w:space="0" w:color="auto"/>
            </w:tcBorders>
            <w:vAlign w:val="center"/>
          </w:tcPr>
          <w:p w14:paraId="3DD0B431" w14:textId="6AB50015" w:rsidR="004C396D" w:rsidRPr="00120E18" w:rsidRDefault="00086612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  <w:r w:rsidRPr="00086612">
              <w:rPr>
                <w:rFonts w:ascii="游ゴシック" w:eastAsia="游ゴシック" w:hAnsi="游ゴシック" w:cstheme="majorHAnsi" w:hint="eastAsia"/>
                <w:color w:val="000000"/>
                <w:kern w:val="0"/>
                <w:szCs w:val="21"/>
              </w:rPr>
              <w:t>約6.4</w:t>
            </w:r>
          </w:p>
        </w:tc>
        <w:tc>
          <w:tcPr>
            <w:tcW w:w="2561" w:type="dxa"/>
            <w:tcBorders>
              <w:top w:val="dotted" w:sz="4" w:space="0" w:color="auto"/>
              <w:right w:val="single" w:sz="12" w:space="0" w:color="000000"/>
            </w:tcBorders>
            <w:vAlign w:val="center"/>
          </w:tcPr>
          <w:p w14:paraId="0A9D8529" w14:textId="43A9A1B1" w:rsidR="004C396D" w:rsidRPr="00120E18" w:rsidRDefault="00086612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  <w:r w:rsidRPr="00086612"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  <w:t>530.6</w:t>
            </w:r>
          </w:p>
        </w:tc>
      </w:tr>
      <w:tr w:rsidR="004C396D" w:rsidRPr="00791B67" w14:paraId="0CBA6E6B" w14:textId="77777777" w:rsidTr="005D70D3">
        <w:tblPrEx>
          <w:tblCellMar>
            <w:left w:w="99" w:type="dxa"/>
            <w:right w:w="99" w:type="dxa"/>
          </w:tblCellMar>
        </w:tblPrEx>
        <w:trPr>
          <w:trHeight w:val="748"/>
        </w:trPr>
        <w:tc>
          <w:tcPr>
            <w:tcW w:w="110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7E21EB2" w14:textId="77777777" w:rsidR="004C396D" w:rsidRPr="00120E18" w:rsidRDefault="004C396D" w:rsidP="00120E18">
            <w:pPr>
              <w:spacing w:line="280" w:lineRule="exact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</w:p>
        </w:tc>
        <w:tc>
          <w:tcPr>
            <w:tcW w:w="3009" w:type="dxa"/>
            <w:vMerge/>
            <w:tcBorders>
              <w:left w:val="single" w:sz="12" w:space="0" w:color="000000"/>
            </w:tcBorders>
          </w:tcPr>
          <w:p w14:paraId="58C05B32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3"/>
            <w:tcBorders>
              <w:right w:val="single" w:sz="12" w:space="0" w:color="000000"/>
            </w:tcBorders>
          </w:tcPr>
          <w:p w14:paraId="384DC864" w14:textId="7252EF03" w:rsidR="004C396D" w:rsidRDefault="004343E0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26516A7" wp14:editId="45E2722A">
                  <wp:simplePos x="0" y="0"/>
                  <wp:positionH relativeFrom="column">
                    <wp:posOffset>1724660</wp:posOffset>
                  </wp:positionH>
                  <wp:positionV relativeFrom="paragraph">
                    <wp:posOffset>45720</wp:posOffset>
                  </wp:positionV>
                  <wp:extent cx="891540" cy="396240"/>
                  <wp:effectExtent l="0" t="0" r="3810" b="3810"/>
                  <wp:wrapThrough wrapText="bothSides">
                    <wp:wrapPolygon edited="0">
                      <wp:start x="0" y="0"/>
                      <wp:lineTo x="0" y="20769"/>
                      <wp:lineTo x="21231" y="20769"/>
                      <wp:lineTo x="21231" y="0"/>
                      <wp:lineTo x="0" y="0"/>
                    </wp:wrapPolygon>
                  </wp:wrapThrough>
                  <wp:docPr id="2103" name="Picture 11" descr="ヤトリップカプセル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378664-F8A4-052C-552D-CF0E96CF0B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" name="Picture 11" descr="ヤトリップカプセル">
                            <a:extLst>
                              <a:ext uri="{FF2B5EF4-FFF2-40B4-BE49-F238E27FC236}">
                                <a16:creationId xmlns:a16="http://schemas.microsoft.com/office/drawing/2014/main" id="{CB378664-F8A4-052C-552D-CF0E96CF0B1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776068" w14:textId="3FB087B5" w:rsidR="00ED0DCB" w:rsidRPr="00120E18" w:rsidRDefault="00ED0DCB" w:rsidP="005D70D3">
            <w:pPr>
              <w:spacing w:line="280" w:lineRule="exact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</w:p>
        </w:tc>
      </w:tr>
      <w:tr w:rsidR="00921A7F" w:rsidRPr="00791B67" w14:paraId="2FC1B60C" w14:textId="77777777" w:rsidTr="005D70D3">
        <w:tblPrEx>
          <w:tblCellMar>
            <w:left w:w="99" w:type="dxa"/>
            <w:right w:w="99" w:type="dxa"/>
          </w:tblCellMar>
        </w:tblPrEx>
        <w:trPr>
          <w:trHeight w:val="3135"/>
        </w:trPr>
        <w:tc>
          <w:tcPr>
            <w:tcW w:w="1102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72AC347" w14:textId="77777777" w:rsidR="00921A7F" w:rsidRPr="00120E18" w:rsidRDefault="00921A7F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標準製剤</w:t>
            </w:r>
          </w:p>
          <w:p w14:paraId="6E9274C6" w14:textId="77777777" w:rsidR="00921A7F" w:rsidRPr="00120E18" w:rsidRDefault="00921A7F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との</w:t>
            </w:r>
          </w:p>
          <w:p w14:paraId="0396C50C" w14:textId="77777777" w:rsidR="00921A7F" w:rsidRPr="00120E18" w:rsidRDefault="00921A7F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同等性</w:t>
            </w:r>
          </w:p>
        </w:tc>
        <w:tc>
          <w:tcPr>
            <w:tcW w:w="9388" w:type="dxa"/>
            <w:gridSpan w:val="4"/>
            <w:tcBorders>
              <w:left w:val="single" w:sz="4" w:space="0" w:color="auto"/>
              <w:right w:val="single" w:sz="12" w:space="0" w:color="000000"/>
            </w:tcBorders>
          </w:tcPr>
          <w:p w14:paraId="6524337E" w14:textId="067844DB" w:rsidR="00921A7F" w:rsidRDefault="00921A7F" w:rsidP="005D70D3">
            <w:pPr>
              <w:spacing w:line="280" w:lineRule="exact"/>
              <w:ind w:leftChars="-3" w:left="-6"/>
              <w:jc w:val="left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  <w:r w:rsidRPr="00120E18">
              <w:rPr>
                <w:rFonts w:ascii="游ゴシック" w:eastAsia="游ゴシック" w:hAnsi="游ゴシック" w:cstheme="majorHAnsi"/>
                <w:sz w:val="20"/>
                <w:szCs w:val="20"/>
              </w:rPr>
              <w:t>【</w:t>
            </w:r>
            <w:r w:rsidR="00BA5E0C" w:rsidRPr="006240E7">
              <w:rPr>
                <w:rFonts w:ascii="游ゴシック" w:eastAsia="游ゴシック" w:hAnsi="游ゴシック" w:cstheme="majorHAnsi" w:hint="eastAsia"/>
                <w:sz w:val="20"/>
                <w:szCs w:val="20"/>
              </w:rPr>
              <w:t>生物学的同等性試験</w:t>
            </w:r>
            <w:r w:rsidR="00327C16">
              <w:rPr>
                <w:rFonts w:ascii="游ゴシック" w:eastAsia="游ゴシック" w:hAnsi="游ゴシック" w:cstheme="majorHAnsi" w:hint="eastAsia"/>
                <w:sz w:val="20"/>
                <w:szCs w:val="20"/>
              </w:rPr>
              <w:t>(人、食直後)</w:t>
            </w:r>
            <w:r w:rsidRPr="00120E18">
              <w:rPr>
                <w:rFonts w:ascii="游ゴシック" w:eastAsia="游ゴシック" w:hAnsi="游ゴシック" w:cstheme="majorHAnsi"/>
                <w:sz w:val="20"/>
                <w:szCs w:val="20"/>
              </w:rPr>
              <w:t>】</w:t>
            </w:r>
          </w:p>
          <w:p w14:paraId="5E09F57A" w14:textId="0DD7812E" w:rsidR="00F40B41" w:rsidRDefault="00A907BC" w:rsidP="003A07F7">
            <w:pPr>
              <w:spacing w:line="280" w:lineRule="exact"/>
              <w:ind w:leftChars="-3" w:left="-6"/>
              <w:jc w:val="left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987B7CA" wp14:editId="160C56FB">
                  <wp:simplePos x="0" y="0"/>
                  <wp:positionH relativeFrom="column">
                    <wp:posOffset>1659890</wp:posOffset>
                  </wp:positionH>
                  <wp:positionV relativeFrom="paragraph">
                    <wp:posOffset>23495</wp:posOffset>
                  </wp:positionV>
                  <wp:extent cx="2863850" cy="1983740"/>
                  <wp:effectExtent l="0" t="0" r="0" b="0"/>
                  <wp:wrapSquare wrapText="bothSides"/>
                  <wp:docPr id="5457434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0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7053B8" w14:textId="77777777" w:rsidR="007C2816" w:rsidRDefault="007C2816" w:rsidP="003A07F7">
            <w:pPr>
              <w:spacing w:line="280" w:lineRule="exact"/>
              <w:ind w:leftChars="-3" w:left="-6"/>
              <w:jc w:val="left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</w:p>
          <w:p w14:paraId="3F6C88E2" w14:textId="77777777" w:rsidR="007C2816" w:rsidRDefault="007C2816" w:rsidP="005D70D3">
            <w:pPr>
              <w:spacing w:line="280" w:lineRule="exact"/>
              <w:ind w:leftChars="-3" w:left="-6"/>
              <w:jc w:val="left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</w:p>
          <w:p w14:paraId="1336FE7F" w14:textId="77777777" w:rsidR="00F40B41" w:rsidRDefault="00F40B41" w:rsidP="00120E18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</w:p>
          <w:p w14:paraId="5C79FD35" w14:textId="77777777" w:rsidR="00F40B41" w:rsidRDefault="00F40B41" w:rsidP="00120E18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</w:p>
          <w:p w14:paraId="3A99383D" w14:textId="77777777" w:rsidR="003A07F7" w:rsidRDefault="003A07F7" w:rsidP="005D70D3">
            <w:pPr>
              <w:spacing w:line="280" w:lineRule="exact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</w:p>
          <w:p w14:paraId="2B07DC4F" w14:textId="77777777" w:rsidR="00BA03B7" w:rsidRDefault="00BA03B7" w:rsidP="005D70D3">
            <w:pPr>
              <w:spacing w:line="280" w:lineRule="exact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</w:p>
          <w:p w14:paraId="5572A717" w14:textId="77777777" w:rsidR="00BA03B7" w:rsidRDefault="00BA03B7" w:rsidP="005D70D3">
            <w:pPr>
              <w:spacing w:line="280" w:lineRule="exact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</w:p>
          <w:p w14:paraId="345AFF83" w14:textId="77777777" w:rsidR="00BA03B7" w:rsidRDefault="00BA03B7" w:rsidP="005D70D3">
            <w:pPr>
              <w:spacing w:line="280" w:lineRule="exact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</w:p>
          <w:p w14:paraId="52E41381" w14:textId="77777777" w:rsidR="00BA03B7" w:rsidRDefault="00BA03B7" w:rsidP="005D70D3">
            <w:pPr>
              <w:spacing w:line="280" w:lineRule="exact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</w:p>
          <w:p w14:paraId="37169316" w14:textId="77777777" w:rsidR="00BA03B7" w:rsidRDefault="00BA03B7" w:rsidP="005D70D3">
            <w:pPr>
              <w:spacing w:line="280" w:lineRule="exact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</w:p>
          <w:p w14:paraId="64E7E825" w14:textId="75376541" w:rsidR="00727140" w:rsidRPr="00120E18" w:rsidRDefault="00727140" w:rsidP="005D70D3">
            <w:pPr>
              <w:spacing w:line="280" w:lineRule="exact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</w:p>
        </w:tc>
      </w:tr>
      <w:tr w:rsidR="00921A7F" w:rsidRPr="00791B67" w14:paraId="1EAD2CA7" w14:textId="77777777" w:rsidTr="005D70D3">
        <w:trPr>
          <w:trHeight w:val="702"/>
        </w:trPr>
        <w:tc>
          <w:tcPr>
            <w:tcW w:w="1102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571C5B3" w14:textId="77777777" w:rsidR="00921A7F" w:rsidRPr="00120E18" w:rsidRDefault="00921A7F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</w:p>
        </w:tc>
        <w:tc>
          <w:tcPr>
            <w:tcW w:w="9388" w:type="dxa"/>
            <w:gridSpan w:val="4"/>
            <w:tcBorders>
              <w:left w:val="single" w:sz="4" w:space="0" w:color="auto"/>
              <w:right w:val="single" w:sz="12" w:space="0" w:color="000000"/>
            </w:tcBorders>
          </w:tcPr>
          <w:p w14:paraId="488E85BB" w14:textId="69345244" w:rsidR="00921A7F" w:rsidRPr="006240E7" w:rsidRDefault="00BA5E0C" w:rsidP="00120E18">
            <w:pPr>
              <w:spacing w:line="280" w:lineRule="exact"/>
              <w:ind w:leftChars="-15" w:left="-32"/>
              <w:rPr>
                <w:rFonts w:ascii="游ゴシック" w:eastAsia="游ゴシック" w:hAnsi="游ゴシック" w:cstheme="majorHAnsi"/>
                <w:color w:val="000000" w:themeColor="text1"/>
              </w:rPr>
            </w:pPr>
            <w:r w:rsidRPr="006240E7">
              <w:rPr>
                <w:rFonts w:ascii="游ゴシック" w:eastAsia="游ゴシック" w:hAnsi="游ゴシック" w:cstheme="majorHAnsi" w:hint="eastAsia"/>
                <w:color w:val="000000" w:themeColor="text1"/>
              </w:rPr>
              <w:t>得られた薬物動態パラメータについて統計解析を行った結果、両剤の生物学的同等性が確認された。</w:t>
            </w:r>
          </w:p>
        </w:tc>
      </w:tr>
      <w:tr w:rsidR="00471ADA" w:rsidRPr="00791B67" w14:paraId="0376A478" w14:textId="77777777" w:rsidTr="0060040B">
        <w:trPr>
          <w:trHeight w:val="828"/>
        </w:trPr>
        <w:tc>
          <w:tcPr>
            <w:tcW w:w="110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96D4B6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連絡先</w:t>
            </w:r>
          </w:p>
        </w:tc>
        <w:tc>
          <w:tcPr>
            <w:tcW w:w="9388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6B4659" w14:textId="77777777" w:rsidR="00C23924" w:rsidRPr="00120E18" w:rsidRDefault="00C23924" w:rsidP="00471ADA">
            <w:pPr>
              <w:rPr>
                <w:rFonts w:ascii="游ゴシック" w:eastAsia="游ゴシック" w:hAnsi="游ゴシック" w:cstheme="majorHAnsi"/>
              </w:rPr>
            </w:pPr>
          </w:p>
        </w:tc>
      </w:tr>
    </w:tbl>
    <w:p w14:paraId="799044CA" w14:textId="77777777" w:rsidR="009F53A3" w:rsidRPr="002A7EAA" w:rsidRDefault="009F53A3" w:rsidP="001A3F00"/>
    <w:sectPr w:rsidR="009F53A3" w:rsidRPr="002A7EAA" w:rsidSect="005D70D3">
      <w:pgSz w:w="11906" w:h="16838" w:code="9"/>
      <w:pgMar w:top="567" w:right="720" w:bottom="340" w:left="720" w:header="0" w:footer="0" w:gutter="0"/>
      <w:cols w:space="425"/>
      <w:docGrid w:type="linesAndChars" w:linePitch="308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93702" w14:textId="77777777" w:rsidR="00322770" w:rsidRDefault="00322770" w:rsidP="004739A6">
      <w:r>
        <w:separator/>
      </w:r>
    </w:p>
  </w:endnote>
  <w:endnote w:type="continuationSeparator" w:id="0">
    <w:p w14:paraId="0B686C62" w14:textId="77777777" w:rsidR="00322770" w:rsidRDefault="00322770" w:rsidP="0047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1AD2" w14:textId="77777777" w:rsidR="00322770" w:rsidRDefault="00322770" w:rsidP="004739A6">
      <w:r>
        <w:separator/>
      </w:r>
    </w:p>
  </w:footnote>
  <w:footnote w:type="continuationSeparator" w:id="0">
    <w:p w14:paraId="18AEA2A8" w14:textId="77777777" w:rsidR="00322770" w:rsidRDefault="00322770" w:rsidP="0047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67AF"/>
    <w:multiLevelType w:val="hybridMultilevel"/>
    <w:tmpl w:val="5FB65FDE"/>
    <w:lvl w:ilvl="0" w:tplc="8786B50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3529A"/>
    <w:multiLevelType w:val="hybridMultilevel"/>
    <w:tmpl w:val="2424D11A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172B4"/>
    <w:multiLevelType w:val="hybridMultilevel"/>
    <w:tmpl w:val="06D46C4C"/>
    <w:lvl w:ilvl="0" w:tplc="D3AE3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0569E"/>
    <w:multiLevelType w:val="hybridMultilevel"/>
    <w:tmpl w:val="726C3A02"/>
    <w:lvl w:ilvl="0" w:tplc="F3A0E6B6">
      <w:start w:val="5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3720F"/>
    <w:multiLevelType w:val="hybridMultilevel"/>
    <w:tmpl w:val="350697DA"/>
    <w:lvl w:ilvl="0" w:tplc="CDD8771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7F39EE"/>
    <w:multiLevelType w:val="hybridMultilevel"/>
    <w:tmpl w:val="B53661F6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F1536C"/>
    <w:multiLevelType w:val="hybridMultilevel"/>
    <w:tmpl w:val="F926BD88"/>
    <w:lvl w:ilvl="0" w:tplc="ED72E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53608B"/>
    <w:multiLevelType w:val="hybridMultilevel"/>
    <w:tmpl w:val="1E6697EC"/>
    <w:lvl w:ilvl="0" w:tplc="CA90ABB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1CC"/>
    <w:multiLevelType w:val="hybridMultilevel"/>
    <w:tmpl w:val="E1AC1CC4"/>
    <w:lvl w:ilvl="0" w:tplc="FD44CD7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94261B"/>
    <w:multiLevelType w:val="hybridMultilevel"/>
    <w:tmpl w:val="693EF528"/>
    <w:lvl w:ilvl="0" w:tplc="820808A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571EB"/>
    <w:multiLevelType w:val="hybridMultilevel"/>
    <w:tmpl w:val="02A6E256"/>
    <w:lvl w:ilvl="0" w:tplc="4252C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8860372">
    <w:abstractNumId w:val="6"/>
  </w:num>
  <w:num w:numId="2" w16cid:durableId="2050837251">
    <w:abstractNumId w:val="10"/>
  </w:num>
  <w:num w:numId="3" w16cid:durableId="1814103074">
    <w:abstractNumId w:val="1"/>
  </w:num>
  <w:num w:numId="4" w16cid:durableId="1328170927">
    <w:abstractNumId w:val="4"/>
  </w:num>
  <w:num w:numId="5" w16cid:durableId="1163089611">
    <w:abstractNumId w:val="9"/>
  </w:num>
  <w:num w:numId="6" w16cid:durableId="1316370790">
    <w:abstractNumId w:val="0"/>
  </w:num>
  <w:num w:numId="7" w16cid:durableId="1799570992">
    <w:abstractNumId w:val="5"/>
  </w:num>
  <w:num w:numId="8" w16cid:durableId="1262031838">
    <w:abstractNumId w:val="7"/>
  </w:num>
  <w:num w:numId="9" w16cid:durableId="1762527143">
    <w:abstractNumId w:val="8"/>
  </w:num>
  <w:num w:numId="10" w16cid:durableId="1862934575">
    <w:abstractNumId w:val="3"/>
  </w:num>
  <w:num w:numId="11" w16cid:durableId="2131045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5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188"/>
    <w:rsid w:val="00001213"/>
    <w:rsid w:val="00027FAB"/>
    <w:rsid w:val="00034A30"/>
    <w:rsid w:val="0004126C"/>
    <w:rsid w:val="00046F10"/>
    <w:rsid w:val="00054BFF"/>
    <w:rsid w:val="00056E38"/>
    <w:rsid w:val="00062FCC"/>
    <w:rsid w:val="000715B9"/>
    <w:rsid w:val="00082489"/>
    <w:rsid w:val="000827DD"/>
    <w:rsid w:val="00086612"/>
    <w:rsid w:val="000A41B1"/>
    <w:rsid w:val="000A5D2F"/>
    <w:rsid w:val="000B7F8D"/>
    <w:rsid w:val="000C1BD3"/>
    <w:rsid w:val="000E075C"/>
    <w:rsid w:val="000E1F9F"/>
    <w:rsid w:val="000E67DE"/>
    <w:rsid w:val="000F5AC4"/>
    <w:rsid w:val="000F75FA"/>
    <w:rsid w:val="0010157D"/>
    <w:rsid w:val="00120E18"/>
    <w:rsid w:val="00127179"/>
    <w:rsid w:val="0014363F"/>
    <w:rsid w:val="00162773"/>
    <w:rsid w:val="00174F20"/>
    <w:rsid w:val="00177ED3"/>
    <w:rsid w:val="00184F11"/>
    <w:rsid w:val="001A1A3B"/>
    <w:rsid w:val="001A263B"/>
    <w:rsid w:val="001A3F00"/>
    <w:rsid w:val="001A6109"/>
    <w:rsid w:val="001A790E"/>
    <w:rsid w:val="001B37CD"/>
    <w:rsid w:val="001C3B22"/>
    <w:rsid w:val="001D1B86"/>
    <w:rsid w:val="001E1CA6"/>
    <w:rsid w:val="001E4B3E"/>
    <w:rsid w:val="001F2664"/>
    <w:rsid w:val="001F7137"/>
    <w:rsid w:val="00200B65"/>
    <w:rsid w:val="00204040"/>
    <w:rsid w:val="002068E8"/>
    <w:rsid w:val="00226FDD"/>
    <w:rsid w:val="002336D6"/>
    <w:rsid w:val="00236D00"/>
    <w:rsid w:val="002450E9"/>
    <w:rsid w:val="002461B0"/>
    <w:rsid w:val="00257A98"/>
    <w:rsid w:val="00257D33"/>
    <w:rsid w:val="002743AD"/>
    <w:rsid w:val="00276D89"/>
    <w:rsid w:val="00282AB2"/>
    <w:rsid w:val="00296EF4"/>
    <w:rsid w:val="002A050E"/>
    <w:rsid w:val="002A55B3"/>
    <w:rsid w:val="002A7EAA"/>
    <w:rsid w:val="002C0647"/>
    <w:rsid w:val="002D5141"/>
    <w:rsid w:val="002D7188"/>
    <w:rsid w:val="002E01B7"/>
    <w:rsid w:val="002E2531"/>
    <w:rsid w:val="00306DFF"/>
    <w:rsid w:val="003071E9"/>
    <w:rsid w:val="00322770"/>
    <w:rsid w:val="00327C16"/>
    <w:rsid w:val="00336CB1"/>
    <w:rsid w:val="00353A58"/>
    <w:rsid w:val="003557DD"/>
    <w:rsid w:val="00374B51"/>
    <w:rsid w:val="00387D7D"/>
    <w:rsid w:val="0039173E"/>
    <w:rsid w:val="003A07F7"/>
    <w:rsid w:val="003B12BF"/>
    <w:rsid w:val="003C3F56"/>
    <w:rsid w:val="003C41DF"/>
    <w:rsid w:val="003E19A4"/>
    <w:rsid w:val="003E6D8E"/>
    <w:rsid w:val="003E741A"/>
    <w:rsid w:val="003E772A"/>
    <w:rsid w:val="003E7803"/>
    <w:rsid w:val="003F239C"/>
    <w:rsid w:val="003F5D63"/>
    <w:rsid w:val="004006D3"/>
    <w:rsid w:val="004010A5"/>
    <w:rsid w:val="00402266"/>
    <w:rsid w:val="00415BA5"/>
    <w:rsid w:val="004160C4"/>
    <w:rsid w:val="004343E0"/>
    <w:rsid w:val="00445B2A"/>
    <w:rsid w:val="004462F3"/>
    <w:rsid w:val="00471ADA"/>
    <w:rsid w:val="004739A6"/>
    <w:rsid w:val="00474C7A"/>
    <w:rsid w:val="00481FFD"/>
    <w:rsid w:val="00483F97"/>
    <w:rsid w:val="00486E67"/>
    <w:rsid w:val="00487246"/>
    <w:rsid w:val="00495E9A"/>
    <w:rsid w:val="004B7FA6"/>
    <w:rsid w:val="004C396D"/>
    <w:rsid w:val="004E5EAE"/>
    <w:rsid w:val="004F35ED"/>
    <w:rsid w:val="0050238E"/>
    <w:rsid w:val="00535C36"/>
    <w:rsid w:val="0055239F"/>
    <w:rsid w:val="00553983"/>
    <w:rsid w:val="00570093"/>
    <w:rsid w:val="005771D8"/>
    <w:rsid w:val="00586986"/>
    <w:rsid w:val="00587D42"/>
    <w:rsid w:val="005A435B"/>
    <w:rsid w:val="005A463C"/>
    <w:rsid w:val="005B782D"/>
    <w:rsid w:val="005C1EDC"/>
    <w:rsid w:val="005C224E"/>
    <w:rsid w:val="005C79FC"/>
    <w:rsid w:val="005D331C"/>
    <w:rsid w:val="005D70D3"/>
    <w:rsid w:val="0060040B"/>
    <w:rsid w:val="006148B0"/>
    <w:rsid w:val="00615F8D"/>
    <w:rsid w:val="0061737B"/>
    <w:rsid w:val="006240E7"/>
    <w:rsid w:val="00630C2B"/>
    <w:rsid w:val="00633315"/>
    <w:rsid w:val="006455B2"/>
    <w:rsid w:val="00645BD2"/>
    <w:rsid w:val="00645CE1"/>
    <w:rsid w:val="00650AA0"/>
    <w:rsid w:val="00662C9C"/>
    <w:rsid w:val="0066501A"/>
    <w:rsid w:val="0067705F"/>
    <w:rsid w:val="00690532"/>
    <w:rsid w:val="00694A1F"/>
    <w:rsid w:val="006A5858"/>
    <w:rsid w:val="006A59D7"/>
    <w:rsid w:val="006B1801"/>
    <w:rsid w:val="006D0AEE"/>
    <w:rsid w:val="006F2831"/>
    <w:rsid w:val="006F42E7"/>
    <w:rsid w:val="00710D1F"/>
    <w:rsid w:val="00727140"/>
    <w:rsid w:val="00732D06"/>
    <w:rsid w:val="007358D5"/>
    <w:rsid w:val="007401BD"/>
    <w:rsid w:val="007447EB"/>
    <w:rsid w:val="007554BA"/>
    <w:rsid w:val="0076016A"/>
    <w:rsid w:val="00773B7E"/>
    <w:rsid w:val="00775C20"/>
    <w:rsid w:val="00791B67"/>
    <w:rsid w:val="007A21FD"/>
    <w:rsid w:val="007B5CF2"/>
    <w:rsid w:val="007C2816"/>
    <w:rsid w:val="007C35B1"/>
    <w:rsid w:val="007C59DD"/>
    <w:rsid w:val="007C777B"/>
    <w:rsid w:val="007D533B"/>
    <w:rsid w:val="007E7CA5"/>
    <w:rsid w:val="007F4583"/>
    <w:rsid w:val="007F4D06"/>
    <w:rsid w:val="00806218"/>
    <w:rsid w:val="00823F7D"/>
    <w:rsid w:val="00824280"/>
    <w:rsid w:val="00834B9A"/>
    <w:rsid w:val="00866BF6"/>
    <w:rsid w:val="0088574B"/>
    <w:rsid w:val="008A4614"/>
    <w:rsid w:val="008A4C10"/>
    <w:rsid w:val="008B13E7"/>
    <w:rsid w:val="008B5B3E"/>
    <w:rsid w:val="008C5FB0"/>
    <w:rsid w:val="008D3191"/>
    <w:rsid w:val="008D37EB"/>
    <w:rsid w:val="008D749C"/>
    <w:rsid w:val="008E45CF"/>
    <w:rsid w:val="008F7467"/>
    <w:rsid w:val="00902454"/>
    <w:rsid w:val="00903536"/>
    <w:rsid w:val="00904CCF"/>
    <w:rsid w:val="00915010"/>
    <w:rsid w:val="00921A7F"/>
    <w:rsid w:val="00941046"/>
    <w:rsid w:val="00944D06"/>
    <w:rsid w:val="009633E2"/>
    <w:rsid w:val="00982180"/>
    <w:rsid w:val="009A4EF9"/>
    <w:rsid w:val="009A795C"/>
    <w:rsid w:val="009E3B3E"/>
    <w:rsid w:val="009F2C89"/>
    <w:rsid w:val="009F53A3"/>
    <w:rsid w:val="009F63D3"/>
    <w:rsid w:val="009F72CB"/>
    <w:rsid w:val="00A022EE"/>
    <w:rsid w:val="00A042C7"/>
    <w:rsid w:val="00A0792A"/>
    <w:rsid w:val="00A102DA"/>
    <w:rsid w:val="00A1192C"/>
    <w:rsid w:val="00A707E9"/>
    <w:rsid w:val="00A7188A"/>
    <w:rsid w:val="00A7329E"/>
    <w:rsid w:val="00A907BC"/>
    <w:rsid w:val="00AA6287"/>
    <w:rsid w:val="00AB57E7"/>
    <w:rsid w:val="00AC16A6"/>
    <w:rsid w:val="00AC28B5"/>
    <w:rsid w:val="00AC423C"/>
    <w:rsid w:val="00AD7F87"/>
    <w:rsid w:val="00AF2E40"/>
    <w:rsid w:val="00B12D30"/>
    <w:rsid w:val="00B160A4"/>
    <w:rsid w:val="00B40083"/>
    <w:rsid w:val="00B44F8B"/>
    <w:rsid w:val="00B53590"/>
    <w:rsid w:val="00B560FF"/>
    <w:rsid w:val="00B57111"/>
    <w:rsid w:val="00B67626"/>
    <w:rsid w:val="00B829CA"/>
    <w:rsid w:val="00B852FC"/>
    <w:rsid w:val="00B959BE"/>
    <w:rsid w:val="00B97C1C"/>
    <w:rsid w:val="00BA03B7"/>
    <w:rsid w:val="00BA1E65"/>
    <w:rsid w:val="00BA39CA"/>
    <w:rsid w:val="00BA5E0C"/>
    <w:rsid w:val="00BB46BC"/>
    <w:rsid w:val="00BB4EF6"/>
    <w:rsid w:val="00BC0287"/>
    <w:rsid w:val="00BC67AB"/>
    <w:rsid w:val="00BD5087"/>
    <w:rsid w:val="00BE15D8"/>
    <w:rsid w:val="00BE65A4"/>
    <w:rsid w:val="00BE6AD1"/>
    <w:rsid w:val="00BF46E7"/>
    <w:rsid w:val="00BF548D"/>
    <w:rsid w:val="00C0233A"/>
    <w:rsid w:val="00C03392"/>
    <w:rsid w:val="00C12205"/>
    <w:rsid w:val="00C12FBA"/>
    <w:rsid w:val="00C176FF"/>
    <w:rsid w:val="00C23924"/>
    <w:rsid w:val="00C27E6E"/>
    <w:rsid w:val="00C322D7"/>
    <w:rsid w:val="00C42215"/>
    <w:rsid w:val="00C52C54"/>
    <w:rsid w:val="00C64443"/>
    <w:rsid w:val="00C6774F"/>
    <w:rsid w:val="00C77654"/>
    <w:rsid w:val="00C941CD"/>
    <w:rsid w:val="00C94EF5"/>
    <w:rsid w:val="00CA142D"/>
    <w:rsid w:val="00CB4723"/>
    <w:rsid w:val="00CC1833"/>
    <w:rsid w:val="00CD2092"/>
    <w:rsid w:val="00CD3757"/>
    <w:rsid w:val="00CD52CA"/>
    <w:rsid w:val="00CE1D50"/>
    <w:rsid w:val="00CF0984"/>
    <w:rsid w:val="00D008CC"/>
    <w:rsid w:val="00D14064"/>
    <w:rsid w:val="00D2066D"/>
    <w:rsid w:val="00D402B1"/>
    <w:rsid w:val="00D517EB"/>
    <w:rsid w:val="00D51ABF"/>
    <w:rsid w:val="00D54A2E"/>
    <w:rsid w:val="00D6048D"/>
    <w:rsid w:val="00D76532"/>
    <w:rsid w:val="00D92DE6"/>
    <w:rsid w:val="00D932A1"/>
    <w:rsid w:val="00DA56EA"/>
    <w:rsid w:val="00DC391B"/>
    <w:rsid w:val="00DD2596"/>
    <w:rsid w:val="00DE48FA"/>
    <w:rsid w:val="00DE4B91"/>
    <w:rsid w:val="00E02FD0"/>
    <w:rsid w:val="00E0485F"/>
    <w:rsid w:val="00E55F26"/>
    <w:rsid w:val="00E6120D"/>
    <w:rsid w:val="00E61EAB"/>
    <w:rsid w:val="00E83342"/>
    <w:rsid w:val="00E84A6F"/>
    <w:rsid w:val="00E87059"/>
    <w:rsid w:val="00E96A69"/>
    <w:rsid w:val="00EA1402"/>
    <w:rsid w:val="00EA446D"/>
    <w:rsid w:val="00EB47CA"/>
    <w:rsid w:val="00EC67C7"/>
    <w:rsid w:val="00ED0DCB"/>
    <w:rsid w:val="00ED23C9"/>
    <w:rsid w:val="00ED5097"/>
    <w:rsid w:val="00EE1A07"/>
    <w:rsid w:val="00EE507C"/>
    <w:rsid w:val="00EF4F1B"/>
    <w:rsid w:val="00F01D77"/>
    <w:rsid w:val="00F024B2"/>
    <w:rsid w:val="00F075E5"/>
    <w:rsid w:val="00F260AF"/>
    <w:rsid w:val="00F40B41"/>
    <w:rsid w:val="00F57965"/>
    <w:rsid w:val="00F57BFB"/>
    <w:rsid w:val="00FA2D28"/>
    <w:rsid w:val="00FB7864"/>
    <w:rsid w:val="00FC0BFE"/>
    <w:rsid w:val="00FC416B"/>
    <w:rsid w:val="00FE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04580"/>
  <w15:docId w15:val="{315045C6-E0BD-4B95-8AA2-D69DE114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1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07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9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9A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140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14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E772A"/>
  </w:style>
  <w:style w:type="character" w:customStyle="1" w:styleId="ac">
    <w:name w:val="日付 (文字)"/>
    <w:basedOn w:val="a0"/>
    <w:link w:val="ab"/>
    <w:uiPriority w:val="99"/>
    <w:semiHidden/>
    <w:rsid w:val="003E772A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DE48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48F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E48F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48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48FA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BA5E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DC580-50D4-46EC-BD75-1DC1A4D7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BIOWS27</dc:creator>
  <cp:lastModifiedBy>江田大曜</cp:lastModifiedBy>
  <cp:revision>6</cp:revision>
  <cp:lastPrinted>2023-08-15T02:41:00Z</cp:lastPrinted>
  <dcterms:created xsi:type="dcterms:W3CDTF">2023-08-15T07:21:00Z</dcterms:created>
  <dcterms:modified xsi:type="dcterms:W3CDTF">2023-08-16T05:18:00Z</dcterms:modified>
</cp:coreProperties>
</file>