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70538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70538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7231D" w:rsidTr="00BC0364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7231D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7231D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7231D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77231D" w:rsidTr="00BC0364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B5CF2" w:rsidRPr="0077231D" w:rsidTr="00BC0364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EF3E38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7D33" w:rsidRPr="0077231D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77231D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7B5CF2" w:rsidRPr="0077231D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5</w:t>
            </w:r>
            <w:r w:rsidR="007B5CF2" w:rsidRPr="0077231D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7B5CF2" w:rsidRPr="0077231D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7B5CF2" w:rsidRPr="0077231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7B5CF2" w:rsidRPr="0077231D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57D33" w:rsidRPr="0077231D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77231D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アムロジピン錠</w:t>
            </w:r>
            <w:r w:rsidR="00EF3E38" w:rsidRPr="0077231D">
              <w:rPr>
                <w:rFonts w:asciiTheme="majorHAnsi" w:eastAsia="ＭＳ Ｐゴシック" w:hAnsiTheme="majorHAnsi" w:cstheme="majorHAnsi"/>
                <w:szCs w:val="21"/>
              </w:rPr>
              <w:t>5</w:t>
            </w:r>
            <w:r w:rsidR="00EF3E38" w:rsidRPr="0077231D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EF3E38" w:rsidRPr="0077231D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77231D" w:rsidTr="00BC0364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77231D" w:rsidRDefault="006A4312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10.1</w:t>
            </w:r>
            <w:r w:rsidR="00257D33" w:rsidRPr="0077231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77231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77231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77231D" w:rsidRDefault="00C17FE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38.0</w:t>
            </w:r>
            <w:r w:rsidR="00257D33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bookmarkStart w:id="0" w:name="_GoBack"/>
            <w:bookmarkEnd w:id="0"/>
            <w:r w:rsidR="007B5CF2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77231D" w:rsidTr="0087022C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046F1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１錠中、「日局」アムロジピンベシル酸塩</w:t>
            </w:r>
            <w:r w:rsidR="0087022C" w:rsidRPr="0077231D">
              <w:rPr>
                <w:rFonts w:asciiTheme="majorHAnsi" w:eastAsia="ＭＳ Ｐゴシック" w:hAnsiTheme="majorHAnsi" w:cstheme="majorHAnsi"/>
                <w:szCs w:val="21"/>
              </w:rPr>
              <w:t>6.93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77231D" w:rsidTr="0087022C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C17FE7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C17FE7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77231D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77231D" w:rsidTr="0087022C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77231D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77231D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A61181" w:rsidRPr="0077231D" w:rsidTr="0087022C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61181" w:rsidRPr="0077231D" w:rsidRDefault="00A61181" w:rsidP="00A61181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A61181" w:rsidRPr="0077231D" w:rsidRDefault="00A61181" w:rsidP="00A61181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61181" w:rsidRPr="00083D7B" w:rsidRDefault="00A61181" w:rsidP="00A61181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成人への投与</w:t>
            </w:r>
          </w:p>
          <w:p w:rsidR="00A61181" w:rsidRPr="00083D7B" w:rsidRDefault="00A61181" w:rsidP="00A61181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A61181" w:rsidRPr="00083D7B" w:rsidRDefault="00A61181" w:rsidP="00A61181">
            <w:pPr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2.5</w:t>
            </w:r>
            <w:r w:rsidRPr="00083D7B">
              <w:rPr>
                <w:rFonts w:asciiTheme="majorHAnsi" w:eastAsia="ＭＳ Ｐゴシック" w:hAnsiTheme="majorHAnsi" w:cstheme="majorHAnsi"/>
              </w:rPr>
              <w:t>～</w:t>
            </w:r>
            <w:r w:rsidRPr="00083D7B">
              <w:rPr>
                <w:rFonts w:asciiTheme="majorHAnsi" w:eastAsia="ＭＳ Ｐゴシック" w:hAnsiTheme="majorHAnsi" w:cstheme="majorHAnsi"/>
              </w:rPr>
              <w:t>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</w:t>
            </w:r>
            <w:r w:rsidRPr="00083D7B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083D7B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:rsidR="00A61181" w:rsidRPr="00083D7B" w:rsidRDefault="00A61181" w:rsidP="00A61181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狭心症</w:t>
            </w:r>
          </w:p>
          <w:p w:rsidR="00A61181" w:rsidRPr="00083D7B" w:rsidRDefault="00A61181" w:rsidP="00A61181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A61181" w:rsidRPr="00083D7B" w:rsidRDefault="00A61181" w:rsidP="00A61181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  <w:p w:rsidR="00A61181" w:rsidRPr="00083D7B" w:rsidRDefault="00A61181" w:rsidP="00A61181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小児への投与</w:t>
            </w:r>
          </w:p>
          <w:p w:rsidR="00A61181" w:rsidRPr="00083D7B" w:rsidRDefault="00A61181" w:rsidP="00A61181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A61181" w:rsidRPr="00083D7B" w:rsidRDefault="00A61181" w:rsidP="00A61181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</w:t>
            </w:r>
            <w:r>
              <w:rPr>
                <w:rFonts w:asciiTheme="majorHAnsi" w:eastAsia="ＭＳ Ｐゴシック" w:hAnsiTheme="majorHAnsi" w:cstheme="majorHAnsi" w:hint="eastAsia"/>
              </w:rPr>
              <w:t>6</w:t>
            </w:r>
            <w:r w:rsidRPr="00083D7B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2.5mg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A61181" w:rsidRPr="00083D7B" w:rsidRDefault="00A61181" w:rsidP="00A61181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</w:tc>
      </w:tr>
      <w:tr w:rsidR="003B12BF" w:rsidRPr="0077231D" w:rsidTr="00BC0364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77231D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77231D" w:rsidRDefault="003B12BF" w:rsidP="00DA56E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無水リン酸水素カルシウム、結晶セルロース、デンプングリコール酸ナトリウム、ステアリン酸マグネシウム、ヒプロメロース、マクロゴール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6000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、酸化チタン、タルク、カルナウバロウ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77231D" w:rsidRDefault="003B12BF" w:rsidP="006A59D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結晶セルロース　無水リン酸水素カルシウム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デンプングリコール酸ナトリウム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ステアリン酸マグネシウム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ヒプロメロース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酸化チタン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タルク</w:t>
            </w:r>
            <w:r w:rsidR="006A59D7"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カルナウバロウ</w:t>
            </w:r>
          </w:p>
        </w:tc>
      </w:tr>
      <w:tr w:rsidR="00F024B2" w:rsidRPr="0077231D" w:rsidTr="00FC29C9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77231D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C17FE7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C17FE7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7022C" w:rsidRPr="0077231D" w:rsidRDefault="0087022C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白色の片面割線入りのフィルムコーティング錠である。</w:t>
            </w:r>
          </w:p>
          <w:p w:rsidR="006A5858" w:rsidRPr="0077231D" w:rsidRDefault="006A5858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6A59D7" w:rsidRPr="0077231D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A70E1F" w:rsidRPr="0077231D">
              <w:rPr>
                <w:rFonts w:asciiTheme="majorHAnsi" w:eastAsia="ＭＳ Ｐゴシック" w:hAnsiTheme="majorHAnsi" w:cstheme="majorHAnsi"/>
                <w:szCs w:val="21"/>
              </w:rPr>
              <w:t>2</w:t>
            </w:r>
          </w:p>
          <w:p w:rsidR="006A59D7" w:rsidRPr="0077231D" w:rsidRDefault="006A59D7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Pr="0077231D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77231D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77231D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77231D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77231D" w:rsidTr="00FC29C9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77231D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77231D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77231D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A70E1F"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77231D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A70E1F"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77231D" w:rsidRDefault="00A70E1F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210</w:t>
            </w:r>
          </w:p>
        </w:tc>
      </w:tr>
      <w:tr w:rsidR="00F024B2" w:rsidRPr="0077231D" w:rsidTr="00FC29C9">
        <w:trPr>
          <w:trHeight w:val="65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77231D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77231D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6A5858" w:rsidRPr="0077231D" w:rsidRDefault="0087022C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39828F8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123322</wp:posOffset>
                  </wp:positionV>
                  <wp:extent cx="347345" cy="34734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77231D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2A7EAA" w:rsidRPr="0077231D" w:rsidRDefault="0087022C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327202C2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123322</wp:posOffset>
                  </wp:positionV>
                  <wp:extent cx="341630" cy="341630"/>
                  <wp:effectExtent l="0" t="0" r="1270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77231D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77231D" w:rsidRDefault="0087022C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6BB5DF99">
                  <wp:simplePos x="0" y="0"/>
                  <wp:positionH relativeFrom="column">
                    <wp:posOffset>509781</wp:posOffset>
                  </wp:positionH>
                  <wp:positionV relativeFrom="paragraph">
                    <wp:posOffset>131643</wp:posOffset>
                  </wp:positionV>
                  <wp:extent cx="347345" cy="34734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77231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77231D" w:rsidRDefault="002A7EAA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7C777B" w:rsidRPr="0077231D" w:rsidTr="00FC29C9">
        <w:tblPrEx>
          <w:tblCellMar>
            <w:left w:w="99" w:type="dxa"/>
            <w:right w:w="99" w:type="dxa"/>
          </w:tblCellMar>
        </w:tblPrEx>
        <w:trPr>
          <w:trHeight w:val="3427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77B" w:rsidRPr="0077231D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7C777B" w:rsidRPr="0077231D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7C777B" w:rsidRPr="0077231D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C777B" w:rsidRPr="0077231D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7231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:rsidR="0087022C" w:rsidRPr="0077231D" w:rsidRDefault="001F22CE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7231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366EF0E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53340</wp:posOffset>
                  </wp:positionV>
                  <wp:extent cx="2800080" cy="1787634"/>
                  <wp:effectExtent l="0" t="0" r="635" b="317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7EC215-68FB-45DE-8FD4-25B7FF1D5B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22C" w:rsidRPr="0077231D" w:rsidRDefault="0087022C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DA56EA" w:rsidRPr="0077231D" w:rsidRDefault="00DA56EA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C777B" w:rsidRPr="0077231D" w:rsidRDefault="007C777B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7231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:rsidR="00DA56EA" w:rsidRPr="0077231D" w:rsidRDefault="001F22C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7231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0DD762C8">
                  <wp:simplePos x="0" y="0"/>
                  <wp:positionH relativeFrom="column">
                    <wp:posOffset>-41266</wp:posOffset>
                  </wp:positionH>
                  <wp:positionV relativeFrom="paragraph">
                    <wp:posOffset>50203</wp:posOffset>
                  </wp:positionV>
                  <wp:extent cx="2800080" cy="1693831"/>
                  <wp:effectExtent l="0" t="0" r="635" b="1905"/>
                  <wp:wrapNone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523C68-CD67-4B3B-A3AD-9435487CE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38" w:rsidRPr="0077231D" w:rsidTr="00B15648">
        <w:trPr>
          <w:trHeight w:val="83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3E38" w:rsidRPr="0077231D" w:rsidRDefault="00EF3E38" w:rsidP="00EF3E3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EF3E38" w:rsidRPr="0077231D" w:rsidRDefault="00EF3E38" w:rsidP="00EF3E38">
            <w:pPr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EF3E38" w:rsidRPr="0077231D" w:rsidRDefault="00EF3E38" w:rsidP="00EF3E38">
            <w:pPr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77231D" w:rsidTr="00E32CB3">
        <w:trPr>
          <w:trHeight w:val="50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77231D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7231D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77231D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2CE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75E4"/>
    <w:rsid w:val="003E19A4"/>
    <w:rsid w:val="003E6D8E"/>
    <w:rsid w:val="003E741A"/>
    <w:rsid w:val="003E772A"/>
    <w:rsid w:val="003E7803"/>
    <w:rsid w:val="003F5D63"/>
    <w:rsid w:val="004010A5"/>
    <w:rsid w:val="004142A4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04369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431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231D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6795"/>
    <w:rsid w:val="00866BF6"/>
    <w:rsid w:val="0087022C"/>
    <w:rsid w:val="0088574B"/>
    <w:rsid w:val="008A4614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61181"/>
    <w:rsid w:val="00A707E9"/>
    <w:rsid w:val="00A70E1F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0364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17FE7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A56EA"/>
    <w:rsid w:val="00DD2596"/>
    <w:rsid w:val="00DE48FA"/>
    <w:rsid w:val="00DE4B91"/>
    <w:rsid w:val="00E32CB3"/>
    <w:rsid w:val="00E55F26"/>
    <w:rsid w:val="00E61EAB"/>
    <w:rsid w:val="00E70538"/>
    <w:rsid w:val="00E87059"/>
    <w:rsid w:val="00E96A69"/>
    <w:rsid w:val="00EA1402"/>
    <w:rsid w:val="00EA446D"/>
    <w:rsid w:val="00EC67C7"/>
    <w:rsid w:val="00ED23C9"/>
    <w:rsid w:val="00ED5097"/>
    <w:rsid w:val="00EE507C"/>
    <w:rsid w:val="00EF3E38"/>
    <w:rsid w:val="00EF4F1B"/>
    <w:rsid w:val="00F01D77"/>
    <w:rsid w:val="00F024B2"/>
    <w:rsid w:val="00F260AF"/>
    <w:rsid w:val="00F57965"/>
    <w:rsid w:val="00F57BFB"/>
    <w:rsid w:val="00FA2D28"/>
    <w:rsid w:val="00FB7864"/>
    <w:rsid w:val="00FC29C9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B4B22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512224169064657"/>
          <c:y val="9.2307692307692368E-2"/>
          <c:w val="0.75914747157767204"/>
          <c:h val="0.69230769230769251"/>
        </c:manualLayout>
      </c:layout>
      <c:scatterChart>
        <c:scatterStyle val="lineMarker"/>
        <c:varyColors val="0"/>
        <c:ser>
          <c:idx val="0"/>
          <c:order val="0"/>
          <c:tx>
            <c:v>アムロジピン錠5mg「BMD」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[1]Sheet2!$A$3:$A$7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</c:numCache>
            </c:numRef>
          </c:xVal>
          <c:yVal>
            <c:numRef>
              <c:f>[1]Sheet2!$C$3:$C$7</c:f>
              <c:numCache>
                <c:formatCode>General</c:formatCode>
                <c:ptCount val="5"/>
                <c:pt idx="0">
                  <c:v>0</c:v>
                </c:pt>
                <c:pt idx="1">
                  <c:v>84.1</c:v>
                </c:pt>
                <c:pt idx="2">
                  <c:v>92.4</c:v>
                </c:pt>
                <c:pt idx="3">
                  <c:v>95</c:v>
                </c:pt>
                <c:pt idx="4">
                  <c:v>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78-4B6B-A5F9-E20406E4DDB1}"/>
            </c:ext>
          </c:extLst>
        </c:ser>
        <c:ser>
          <c:idx val="1"/>
          <c:order val="1"/>
          <c:tx>
            <c:v>標準製剤（錠剤、5mg）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[1]Sheet2!$D$3:$D$7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15</c:v>
                  </c:pt>
                  <c:pt idx="4">
                    <c:v>0</c:v>
                  </c:pt>
                </c:numCache>
              </c:numRef>
            </c:plus>
            <c:minus>
              <c:numRef>
                <c:f>[1]Sheet2!$D$3:$D$7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15</c:v>
                  </c:pt>
                  <c:pt idx="4">
                    <c:v>0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[1]Sheet2!$A$3:$A$7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</c:numCache>
            </c:numRef>
          </c:xVal>
          <c:yVal>
            <c:numRef>
              <c:f>[1]Sheet2!$B$3:$B$7</c:f>
              <c:numCache>
                <c:formatCode>General</c:formatCode>
                <c:ptCount val="5"/>
                <c:pt idx="0">
                  <c:v>0</c:v>
                </c:pt>
                <c:pt idx="1">
                  <c:v>75.3</c:v>
                </c:pt>
                <c:pt idx="2">
                  <c:v>92</c:v>
                </c:pt>
                <c:pt idx="3">
                  <c:v>94.6</c:v>
                </c:pt>
                <c:pt idx="4">
                  <c:v>97.8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78-4B6B-A5F9-E20406E4D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8956312"/>
        <c:axId val="1"/>
      </c:scatterChart>
      <c:valAx>
        <c:axId val="428956312"/>
        <c:scaling>
          <c:orientation val="minMax"/>
          <c:max val="3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時間（分）</a:t>
                </a:r>
              </a:p>
            </c:rich>
          </c:tx>
          <c:layout>
            <c:manualLayout>
              <c:xMode val="edge"/>
              <c:yMode val="edge"/>
              <c:x val="0.49390311310423946"/>
              <c:y val="0.888461442319710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  <c:majorUnit val="10"/>
      </c:valAx>
      <c:valAx>
        <c:axId val="1"/>
        <c:scaling>
          <c:orientation val="minMax"/>
          <c:max val="122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溶出率（％）</a:t>
                </a:r>
              </a:p>
            </c:rich>
          </c:tx>
          <c:layout>
            <c:manualLayout>
              <c:xMode val="edge"/>
              <c:yMode val="edge"/>
              <c:x val="3.9634284125080389E-2"/>
              <c:y val="0.25769228846394199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8956312"/>
        <c:crosses val="autoZero"/>
        <c:crossBetween val="midCat"/>
        <c:majorUnit val="2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683492378022287"/>
          <c:y val="0.51700837395325583"/>
          <c:w val="0.59451321896021281"/>
          <c:h val="0.1809828771403574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8295315321485"/>
          <c:y val="9.2307692307692368E-2"/>
          <c:w val="0.78658653681541879"/>
          <c:h val="0.69230769230769251"/>
        </c:manualLayout>
      </c:layout>
      <c:scatterChart>
        <c:scatterStyle val="lineMarker"/>
        <c:varyColors val="0"/>
        <c:ser>
          <c:idx val="0"/>
          <c:order val="0"/>
          <c:tx>
            <c:v>アムロジピン錠5mg「BMD」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[1]Sheet2!$C$25:$Q$25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-0.36219174085400802</c:v>
                  </c:pt>
                  <c:pt idx="2">
                    <c:v>-0.40044380141942199</c:v>
                  </c:pt>
                  <c:pt idx="3">
                    <c:v>-0.47523628208452701</c:v>
                  </c:pt>
                  <c:pt idx="4">
                    <c:v>-0.45343451251846401</c:v>
                  </c:pt>
                  <c:pt idx="5">
                    <c:v>0.44504681401698321</c:v>
                  </c:pt>
                  <c:pt idx="6">
                    <c:v>0.42754225633541787</c:v>
                  </c:pt>
                  <c:pt idx="7">
                    <c:v>0.42561663948854767</c:v>
                  </c:pt>
                  <c:pt idx="8">
                    <c:v>0.40044023393308159</c:v>
                  </c:pt>
                  <c:pt idx="9">
                    <c:v>0.43241844813295482</c:v>
                  </c:pt>
                  <c:pt idx="10">
                    <c:v>-0.38982535772292898</c:v>
                  </c:pt>
                  <c:pt idx="11">
                    <c:v>0.28658082878757279</c:v>
                  </c:pt>
                  <c:pt idx="12">
                    <c:v>-0.275236694674307</c:v>
                  </c:pt>
                  <c:pt idx="13">
                    <c:v>-0.23496098966991599</c:v>
                  </c:pt>
                  <c:pt idx="14">
                    <c:v>0.17923116225648245</c:v>
                  </c:pt>
                </c:numCache>
              </c:numRef>
            </c:pl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[2]Sheet3!$V$2:$AJ$2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12</c:v>
                </c:pt>
                <c:pt idx="11">
                  <c:v>24</c:v>
                </c:pt>
                <c:pt idx="12">
                  <c:v>36</c:v>
                </c:pt>
                <c:pt idx="13">
                  <c:v>48</c:v>
                </c:pt>
                <c:pt idx="14">
                  <c:v>72</c:v>
                </c:pt>
              </c:numCache>
            </c:numRef>
          </c:xVal>
          <c:yVal>
            <c:numRef>
              <c:f>[2]Sheet3!$V$19:$AJ$19</c:f>
              <c:numCache>
                <c:formatCode>General</c:formatCode>
                <c:ptCount val="15"/>
                <c:pt idx="0">
                  <c:v>0</c:v>
                </c:pt>
                <c:pt idx="1">
                  <c:v>0.74600000000000011</c:v>
                </c:pt>
                <c:pt idx="2">
                  <c:v>1.2053333333333334</c:v>
                </c:pt>
                <c:pt idx="3">
                  <c:v>1.4673333333333332</c:v>
                </c:pt>
                <c:pt idx="4">
                  <c:v>1.9319999999999999</c:v>
                </c:pt>
                <c:pt idx="5">
                  <c:v>2.2033333333333331</c:v>
                </c:pt>
                <c:pt idx="6">
                  <c:v>2.1806666666666668</c:v>
                </c:pt>
                <c:pt idx="7">
                  <c:v>2.1426666666666665</c:v>
                </c:pt>
                <c:pt idx="8">
                  <c:v>1.9866666666666666</c:v>
                </c:pt>
                <c:pt idx="9">
                  <c:v>1.8400000000000003</c:v>
                </c:pt>
                <c:pt idx="10">
                  <c:v>1.7426666666666668</c:v>
                </c:pt>
                <c:pt idx="11">
                  <c:v>1.2699999999999998</c:v>
                </c:pt>
                <c:pt idx="12">
                  <c:v>1.0146666666666666</c:v>
                </c:pt>
                <c:pt idx="13">
                  <c:v>0.81733333333333336</c:v>
                </c:pt>
                <c:pt idx="14">
                  <c:v>0.53333333333333333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67A-435C-903F-EF9C42C0499D}"/>
            </c:ext>
          </c:extLst>
        </c:ser>
        <c:ser>
          <c:idx val="1"/>
          <c:order val="1"/>
          <c:tx>
            <c:v>標準製剤（錠剤、5mg）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[1]Sheet2!$C$23:$Q$23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0.38102993258248041</c:v>
                  </c:pt>
                  <c:pt idx="2">
                    <c:v>0.3924865784784427</c:v>
                  </c:pt>
                  <c:pt idx="3">
                    <c:v>0.47657708115866726</c:v>
                  </c:pt>
                  <c:pt idx="4">
                    <c:v>0.62033938483780937</c:v>
                  </c:pt>
                  <c:pt idx="5">
                    <c:v>-0.54961631638634501</c:v>
                  </c:pt>
                  <c:pt idx="6">
                    <c:v>-0.57618036197340805</c:v>
                  </c:pt>
                  <c:pt idx="7">
                    <c:v>-0.47881997810092602</c:v>
                  </c:pt>
                  <c:pt idx="8">
                    <c:v>-0.46675883443573901</c:v>
                  </c:pt>
                  <c:pt idx="9">
                    <c:v>-0.42914311077286199</c:v>
                  </c:pt>
                  <c:pt idx="10">
                    <c:v>0.3558022457703679</c:v>
                  </c:pt>
                  <c:pt idx="11">
                    <c:v>-0.31459422087750299</c:v>
                  </c:pt>
                  <c:pt idx="12">
                    <c:v>0.300724521938663</c:v>
                  </c:pt>
                  <c:pt idx="13">
                    <c:v>0.22509892005410401</c:v>
                  </c:pt>
                  <c:pt idx="14">
                    <c:v>-0.187159214116141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[2]Sheet3!$C$2:$Q$2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12</c:v>
                </c:pt>
                <c:pt idx="11">
                  <c:v>24</c:v>
                </c:pt>
                <c:pt idx="12">
                  <c:v>36</c:v>
                </c:pt>
                <c:pt idx="13">
                  <c:v>48</c:v>
                </c:pt>
                <c:pt idx="14">
                  <c:v>72</c:v>
                </c:pt>
              </c:numCache>
            </c:numRef>
          </c:xVal>
          <c:yVal>
            <c:numRef>
              <c:f>[2]Sheet3!$C$19:$Q$19</c:f>
              <c:numCache>
                <c:formatCode>General</c:formatCode>
                <c:ptCount val="15"/>
                <c:pt idx="0">
                  <c:v>0</c:v>
                </c:pt>
                <c:pt idx="1">
                  <c:v>0.85866666666666669</c:v>
                </c:pt>
                <c:pt idx="2">
                  <c:v>1.2079999999999997</c:v>
                </c:pt>
                <c:pt idx="3">
                  <c:v>1.5459999999999998</c:v>
                </c:pt>
                <c:pt idx="4">
                  <c:v>2.0726666666666671</c:v>
                </c:pt>
                <c:pt idx="5">
                  <c:v>2.1893333333333334</c:v>
                </c:pt>
                <c:pt idx="6">
                  <c:v>2.1646666666666672</c:v>
                </c:pt>
                <c:pt idx="7">
                  <c:v>2.0660000000000003</c:v>
                </c:pt>
                <c:pt idx="8">
                  <c:v>1.9473333333333334</c:v>
                </c:pt>
                <c:pt idx="9">
                  <c:v>1.7993333333333335</c:v>
                </c:pt>
                <c:pt idx="10">
                  <c:v>1.7366666666666668</c:v>
                </c:pt>
                <c:pt idx="11">
                  <c:v>1.2986666666666666</c:v>
                </c:pt>
                <c:pt idx="12">
                  <c:v>1.0206666666666668</c:v>
                </c:pt>
                <c:pt idx="13">
                  <c:v>0.82666666666666666</c:v>
                </c:pt>
                <c:pt idx="14">
                  <c:v>0.55999999999999994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67A-435C-903F-EF9C42C04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8957952"/>
        <c:axId val="1"/>
      </c:scatterChart>
      <c:valAx>
        <c:axId val="428957952"/>
        <c:scaling>
          <c:orientation val="minMax"/>
          <c:max val="7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投与後時間（hr)</a:t>
                </a:r>
              </a:p>
            </c:rich>
          </c:tx>
          <c:layout>
            <c:manualLayout>
              <c:xMode val="edge"/>
              <c:yMode val="edge"/>
              <c:x val="0.44207366463298048"/>
              <c:y val="0.888461731228320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  <c:majorUnit val="12"/>
      </c:valAx>
      <c:valAx>
        <c:axId val="1"/>
        <c:scaling>
          <c:orientation val="minMax"/>
          <c:max val="3.2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血漿中濃度</a:t>
                </a:r>
              </a:p>
            </c:rich>
          </c:tx>
          <c:layout>
            <c:manualLayout>
              <c:xMode val="edge"/>
              <c:yMode val="edge"/>
              <c:x val="3.3536701951991099E-2"/>
              <c:y val="0.2884617312283200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2895795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975665293493947"/>
          <c:y val="6.1538664450863242E-2"/>
          <c:w val="0.62500112982565925"/>
          <c:h val="0.161538400664741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D1E0-D190-49A5-988E-4E7F063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バルサルタン錠20mg「BMD」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アムロジピン錠5mg「BMD」</dc:title>
  <dc:creator>BIOWS27</dc:creator>
  <cp:lastModifiedBy>BIOWS27</cp:lastModifiedBy>
  <cp:revision>11</cp:revision>
  <cp:lastPrinted>2018-04-05T04:05:00Z</cp:lastPrinted>
  <dcterms:created xsi:type="dcterms:W3CDTF">2018-03-23T07:41:00Z</dcterms:created>
  <dcterms:modified xsi:type="dcterms:W3CDTF">2020-03-18T05:54:00Z</dcterms:modified>
</cp:coreProperties>
</file>