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42149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42149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083D7B" w:rsidTr="00DC2098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083D7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083D7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083D7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083D7B" w:rsidTr="00DC2098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7B5CF2" w:rsidRPr="00083D7B" w:rsidTr="00DC2098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4F4A94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57D33" w:rsidRPr="00083D7B" w:rsidRDefault="00257D33" w:rsidP="007B5CF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日本薬局方　アムロジピンベシル酸塩錠</w:t>
            </w:r>
          </w:p>
          <w:p w:rsidR="007B5CF2" w:rsidRPr="00083D7B" w:rsidRDefault="00257D33" w:rsidP="007B5CF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アムロジピン</w:t>
            </w:r>
            <w:r w:rsidR="007B5CF2" w:rsidRPr="00083D7B">
              <w:rPr>
                <w:rFonts w:asciiTheme="majorHAnsi" w:eastAsia="ＭＳ Ｐゴシック" w:hAnsiTheme="majorHAnsi" w:cstheme="majorHAnsi"/>
                <w:szCs w:val="21"/>
              </w:rPr>
              <w:t>錠</w:t>
            </w: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2.5</w:t>
            </w:r>
            <w:r w:rsidR="007B5CF2" w:rsidRPr="00083D7B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="007B5CF2" w:rsidRPr="00083D7B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="007B5CF2" w:rsidRPr="00083D7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7B5CF2" w:rsidRPr="00083D7B">
              <w:rPr>
                <w:rFonts w:asciiTheme="majorHAnsi" w:eastAsia="ＭＳ Ｐゴシック" w:hAnsiTheme="majorHAnsi" w:cstheme="majorHAnsi"/>
                <w:szCs w:val="21"/>
              </w:rPr>
              <w:t xml:space="preserve">」　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57D33" w:rsidRPr="00083D7B" w:rsidRDefault="00257D33" w:rsidP="00257D33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日本薬局方　アムロジピンベシル酸塩錠</w:t>
            </w:r>
          </w:p>
          <w:p w:rsidR="007B5CF2" w:rsidRPr="00083D7B" w:rsidRDefault="00257D33" w:rsidP="00257D33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アムロジピン錠</w:t>
            </w:r>
            <w:r w:rsidR="004F4A94" w:rsidRPr="00083D7B">
              <w:rPr>
                <w:rFonts w:asciiTheme="majorHAnsi" w:eastAsia="ＭＳ Ｐゴシック" w:hAnsiTheme="majorHAnsi" w:cstheme="majorHAnsi"/>
                <w:szCs w:val="21"/>
              </w:rPr>
              <w:t>2.5</w:t>
            </w:r>
            <w:r w:rsidR="004F4A94" w:rsidRPr="00083D7B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4F4A94" w:rsidRPr="00083D7B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（一般名）</w:t>
            </w:r>
          </w:p>
        </w:tc>
      </w:tr>
      <w:tr w:rsidR="007B5CF2" w:rsidRPr="00083D7B" w:rsidTr="00DC2098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F2" w:rsidRPr="00083D7B" w:rsidRDefault="00E91CA0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10.1</w:t>
            </w:r>
            <w:r w:rsidR="00257D33" w:rsidRPr="00083D7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083D7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083D7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083D7B" w:rsidRDefault="002A3C19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21.9</w:t>
            </w:r>
            <w:r w:rsidR="00E91CA0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r w:rsidR="007B5CF2"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257D33"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・</w:t>
            </w:r>
            <w:r w:rsidR="00E91CA0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21.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4</w:t>
            </w:r>
            <w:r w:rsidR="00E91CA0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bookmarkStart w:id="0" w:name="_GoBack"/>
            <w:bookmarkEnd w:id="0"/>
            <w:r w:rsidR="00257D33"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083D7B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0D2F50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1</w:t>
            </w:r>
            <w:r w:rsidR="00046F10" w:rsidRPr="00083D7B">
              <w:rPr>
                <w:rFonts w:asciiTheme="majorHAnsi" w:eastAsia="ＭＳ Ｐゴシック" w:hAnsiTheme="majorHAnsi" w:cstheme="majorHAnsi"/>
                <w:szCs w:val="21"/>
              </w:rPr>
              <w:t>錠中、「日局」アムロジピンベシル酸塩</w:t>
            </w:r>
            <w:r w:rsidR="00046F10" w:rsidRPr="00083D7B">
              <w:rPr>
                <w:rFonts w:asciiTheme="majorHAnsi" w:eastAsia="ＭＳ Ｐゴシック" w:hAnsiTheme="majorHAnsi" w:cstheme="majorHAnsi"/>
                <w:szCs w:val="21"/>
              </w:rPr>
              <w:t>3.47mg</w:t>
            </w:r>
            <w:r w:rsidR="00046F10" w:rsidRPr="00083D7B">
              <w:rPr>
                <w:rFonts w:asciiTheme="majorHAnsi" w:eastAsia="ＭＳ Ｐゴシック" w:hAnsiTheme="majorHAnsi" w:cstheme="majorHAnsi"/>
                <w:szCs w:val="21"/>
              </w:rPr>
              <w:t>（アムロジピンとして</w:t>
            </w:r>
            <w:r w:rsidR="00046F10" w:rsidRPr="00083D7B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="00046F10" w:rsidRPr="00083D7B">
              <w:rPr>
                <w:rFonts w:asciiTheme="majorHAnsi" w:eastAsia="ＭＳ Ｐゴシック" w:hAnsiTheme="majorHAnsi" w:cstheme="majorHAnsi"/>
                <w:szCs w:val="21"/>
              </w:rPr>
              <w:t>）を含有する。</w:t>
            </w:r>
          </w:p>
        </w:tc>
      </w:tr>
      <w:tr w:rsidR="007B5CF2" w:rsidRPr="00083D7B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A3C19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2A3C19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083D7B" w:rsidRDefault="003B12BF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血管拡張剤</w:t>
            </w:r>
          </w:p>
        </w:tc>
      </w:tr>
      <w:tr w:rsidR="007B5CF2" w:rsidRPr="00083D7B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3B12BF" w:rsidP="003B12BF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高血圧症、狭心症</w:t>
            </w:r>
          </w:p>
        </w:tc>
      </w:tr>
      <w:tr w:rsidR="007B5CF2" w:rsidRPr="00083D7B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3B12BF" w:rsidRPr="00083D7B" w:rsidRDefault="003B12BF" w:rsidP="003B12BF">
            <w:pPr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成人への投与</w:t>
            </w:r>
          </w:p>
          <w:p w:rsidR="003B12BF" w:rsidRPr="00083D7B" w:rsidRDefault="003B12BF" w:rsidP="003B12BF">
            <w:pPr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○</w:t>
            </w:r>
            <w:r w:rsidRPr="00083D7B">
              <w:rPr>
                <w:rFonts w:asciiTheme="majorHAnsi" w:eastAsia="ＭＳ Ｐゴシック" w:hAnsiTheme="majorHAnsi" w:cstheme="majorHAnsi"/>
              </w:rPr>
              <w:t>高血圧症</w:t>
            </w:r>
          </w:p>
          <w:p w:rsidR="003B12BF" w:rsidRPr="00083D7B" w:rsidRDefault="003B12BF" w:rsidP="003B12BF">
            <w:pPr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083D7B">
              <w:rPr>
                <w:rFonts w:asciiTheme="majorHAnsi" w:eastAsia="ＭＳ Ｐゴシック" w:hAnsiTheme="majorHAnsi" w:cstheme="majorHAnsi"/>
              </w:rPr>
              <w:t>2.5</w:t>
            </w:r>
            <w:r w:rsidRPr="00083D7B">
              <w:rPr>
                <w:rFonts w:asciiTheme="majorHAnsi" w:eastAsia="ＭＳ Ｐゴシック" w:hAnsiTheme="majorHAnsi" w:cstheme="majorHAnsi"/>
              </w:rPr>
              <w:t>～</w:t>
            </w:r>
            <w:r w:rsidRPr="00083D7B">
              <w:rPr>
                <w:rFonts w:asciiTheme="majorHAnsi" w:eastAsia="ＭＳ Ｐゴシック" w:hAnsiTheme="majorHAnsi" w:cstheme="majorHAnsi"/>
              </w:rPr>
              <w:t>5mg</w:t>
            </w:r>
            <w:r w:rsidRPr="00083D7B">
              <w:rPr>
                <w:rFonts w:asciiTheme="majorHAnsi" w:eastAsia="ＭＳ Ｐゴシック" w:hAnsiTheme="majorHAnsi" w:cstheme="majorHAnsi"/>
              </w:rPr>
              <w:t>を</w:t>
            </w:r>
            <w:r w:rsidR="000D2F50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日</w:t>
            </w:r>
            <w:r w:rsidR="000D2F50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回経口投与する。なお、症状に応じ適宜増減するが、効果不十分な場合には</w:t>
            </w:r>
            <w:r w:rsidR="000D2F50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日</w:t>
            </w:r>
            <w:r w:rsidR="000D2F50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回</w:t>
            </w:r>
            <w:r w:rsidRPr="00083D7B">
              <w:rPr>
                <w:rFonts w:asciiTheme="majorHAnsi" w:eastAsia="ＭＳ Ｐゴシック" w:hAnsiTheme="majorHAnsi" w:cstheme="majorHAnsi"/>
              </w:rPr>
              <w:t xml:space="preserve"> 10 mg</w:t>
            </w:r>
            <w:r w:rsidRPr="00083D7B">
              <w:rPr>
                <w:rFonts w:asciiTheme="majorHAnsi" w:eastAsia="ＭＳ Ｐゴシック" w:hAnsiTheme="majorHAnsi" w:cstheme="majorHAnsi"/>
              </w:rPr>
              <w:t>まで増量することができる。</w:t>
            </w:r>
          </w:p>
          <w:p w:rsidR="003B12BF" w:rsidRPr="00083D7B" w:rsidRDefault="003B12BF" w:rsidP="003B12BF">
            <w:pPr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○</w:t>
            </w:r>
            <w:r w:rsidRPr="00083D7B">
              <w:rPr>
                <w:rFonts w:asciiTheme="majorHAnsi" w:eastAsia="ＭＳ Ｐゴシック" w:hAnsiTheme="majorHAnsi" w:cstheme="majorHAnsi"/>
              </w:rPr>
              <w:t>狭心症</w:t>
            </w:r>
          </w:p>
          <w:p w:rsidR="003B12BF" w:rsidRPr="00083D7B" w:rsidRDefault="003B12BF" w:rsidP="003B12BF">
            <w:pPr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083D7B">
              <w:rPr>
                <w:rFonts w:asciiTheme="majorHAnsi" w:eastAsia="ＭＳ Ｐゴシック" w:hAnsiTheme="majorHAnsi" w:cstheme="majorHAnsi"/>
              </w:rPr>
              <w:t>5mg</w:t>
            </w:r>
            <w:r w:rsidRPr="00083D7B">
              <w:rPr>
                <w:rFonts w:asciiTheme="majorHAnsi" w:eastAsia="ＭＳ Ｐゴシック" w:hAnsiTheme="majorHAnsi" w:cstheme="majorHAnsi"/>
              </w:rPr>
              <w:t>を</w:t>
            </w:r>
            <w:r w:rsidR="000D2F50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日</w:t>
            </w:r>
            <w:r w:rsidR="000D2F50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:rsidR="003B12BF" w:rsidRPr="00083D7B" w:rsidRDefault="003B12BF" w:rsidP="003B12BF">
            <w:pPr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なお、症状に応じ適宜増減する。</w:t>
            </w:r>
          </w:p>
          <w:p w:rsidR="003B12BF" w:rsidRPr="00083D7B" w:rsidRDefault="003B12BF" w:rsidP="003B12BF">
            <w:pPr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小児への投与</w:t>
            </w:r>
          </w:p>
          <w:p w:rsidR="003B12BF" w:rsidRPr="00083D7B" w:rsidRDefault="003B12BF" w:rsidP="003B12BF">
            <w:pPr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○</w:t>
            </w:r>
            <w:r w:rsidRPr="00083D7B">
              <w:rPr>
                <w:rFonts w:asciiTheme="majorHAnsi" w:eastAsia="ＭＳ Ｐゴシック" w:hAnsiTheme="majorHAnsi" w:cstheme="majorHAnsi"/>
              </w:rPr>
              <w:t>高血圧症</w:t>
            </w:r>
          </w:p>
          <w:p w:rsidR="003B12BF" w:rsidRPr="00083D7B" w:rsidRDefault="003B12BF" w:rsidP="003B12BF">
            <w:pPr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通常、</w:t>
            </w:r>
            <w:r w:rsidR="000D2F50">
              <w:rPr>
                <w:rFonts w:asciiTheme="majorHAnsi" w:eastAsia="ＭＳ Ｐゴシック" w:hAnsiTheme="majorHAnsi" w:cstheme="majorHAnsi" w:hint="eastAsia"/>
              </w:rPr>
              <w:t>6</w:t>
            </w:r>
            <w:r w:rsidRPr="00083D7B">
              <w:rPr>
                <w:rFonts w:asciiTheme="majorHAnsi" w:eastAsia="ＭＳ Ｐゴシック" w:hAnsiTheme="majorHAnsi" w:cstheme="majorHAnsi"/>
              </w:rPr>
              <w:t>歳以上の小児には、アムロジピンとして</w:t>
            </w:r>
            <w:r w:rsidRPr="00083D7B">
              <w:rPr>
                <w:rFonts w:asciiTheme="majorHAnsi" w:eastAsia="ＭＳ Ｐゴシック" w:hAnsiTheme="majorHAnsi" w:cstheme="majorHAnsi"/>
              </w:rPr>
              <w:t>2.5mg</w:t>
            </w:r>
            <w:r w:rsidRPr="00083D7B">
              <w:rPr>
                <w:rFonts w:asciiTheme="majorHAnsi" w:eastAsia="ＭＳ Ｐゴシック" w:hAnsiTheme="majorHAnsi" w:cstheme="majorHAnsi"/>
              </w:rPr>
              <w:t>を</w:t>
            </w:r>
            <w:r w:rsidR="000D2F50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日</w:t>
            </w:r>
            <w:r w:rsidR="000D2F50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083D7B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:rsidR="007B5CF2" w:rsidRPr="00083D7B" w:rsidRDefault="003B12BF" w:rsidP="003B12BF">
            <w:pPr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なお、年齢、体重、症状により適宜増減する。</w:t>
            </w:r>
          </w:p>
        </w:tc>
      </w:tr>
      <w:tr w:rsidR="003B12BF" w:rsidRPr="00083D7B" w:rsidTr="00DC2098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12BF" w:rsidRPr="00083D7B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12BF" w:rsidRPr="00083D7B" w:rsidRDefault="003B12BF" w:rsidP="00DA56E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無水リン酸水素カルシウム、結晶セルロース、デンプングリコール酸ナトリウム、ステアリン酸マグネシウム、ヒプロメロース、マクロゴール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6000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、酸化チタン、タルク、カルナウバロウ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B12BF" w:rsidRPr="00083D7B" w:rsidRDefault="003B12BF" w:rsidP="006A59D7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結晶セルロース　無水リン酸水素カルシウム</w:t>
            </w:r>
            <w:r w:rsidR="006A59D7"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デンプングリコール酸ナトリウム</w:t>
            </w:r>
            <w:r w:rsidR="006A59D7"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ステアリン酸マグネシウム</w:t>
            </w:r>
            <w:r w:rsidR="006A59D7"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ヒプロメロース</w:t>
            </w:r>
            <w:r w:rsidR="006A59D7"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酸化チタン</w:t>
            </w:r>
            <w:r w:rsidR="006A59D7"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タルク</w:t>
            </w:r>
            <w:r w:rsidR="006A59D7"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カルナウバロウ</w:t>
            </w:r>
          </w:p>
        </w:tc>
      </w:tr>
      <w:tr w:rsidR="00F024B2" w:rsidRPr="00083D7B" w:rsidTr="00D54A2E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A7EAA" w:rsidRPr="00083D7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A3C19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2A3C19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6A59D7" w:rsidRPr="00083D7B" w:rsidRDefault="006A59D7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白色のフィルムコーティング錠である。</w:t>
            </w:r>
          </w:p>
          <w:p w:rsidR="006A5858" w:rsidRPr="00083D7B" w:rsidRDefault="006A5858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6A59D7" w:rsidRPr="00083D7B">
              <w:rPr>
                <w:rFonts w:asciiTheme="majorHAnsi" w:eastAsia="ＭＳ Ｐゴシック" w:hAnsiTheme="majorHAnsi" w:cstheme="majorHAnsi"/>
                <w:szCs w:val="21"/>
              </w:rPr>
              <w:t>11</w:t>
            </w:r>
          </w:p>
          <w:p w:rsidR="006A59D7" w:rsidRPr="00083D7B" w:rsidRDefault="006A59D7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Pr="00083D7B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2A7EAA" w:rsidRPr="00083D7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2A7EAA" w:rsidRPr="00083D7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2A7EAA" w:rsidRPr="00083D7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F024B2" w:rsidRPr="00083D7B" w:rsidTr="00D54A2E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083D7B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2A7EAA" w:rsidRPr="00083D7B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:rsidR="002A7EAA" w:rsidRPr="00083D7B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</w:t>
            </w:r>
            <w:r w:rsidR="006A59D7"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:rsidR="002A7EAA" w:rsidRPr="00083D7B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2.</w:t>
            </w:r>
            <w:r w:rsidR="006A59D7"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2A7EAA" w:rsidRPr="00083D7B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10</w:t>
            </w:r>
            <w:r w:rsidR="006A59D7" w:rsidRPr="00083D7B">
              <w:rPr>
                <w:rFonts w:asciiTheme="majorHAnsi" w:eastAsia="ＭＳ Ｐゴシック" w:hAnsiTheme="majorHAnsi" w:cstheme="majorHAnsi"/>
              </w:rPr>
              <w:t>5</w:t>
            </w:r>
          </w:p>
        </w:tc>
      </w:tr>
      <w:tr w:rsidR="00F024B2" w:rsidRPr="00083D7B" w:rsidTr="00811568">
        <w:trPr>
          <w:trHeight w:val="80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083D7B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2A7EAA" w:rsidRPr="00083D7B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:rsidR="006A5858" w:rsidRPr="00083D7B" w:rsidRDefault="00DA56EA" w:rsidP="00387D7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64838ECE">
                  <wp:simplePos x="0" y="0"/>
                  <wp:positionH relativeFrom="column">
                    <wp:posOffset>501963</wp:posOffset>
                  </wp:positionH>
                  <wp:positionV relativeFrom="paragraph">
                    <wp:posOffset>105410</wp:posOffset>
                  </wp:positionV>
                  <wp:extent cx="347345" cy="341630"/>
                  <wp:effectExtent l="0" t="0" r="0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EAA"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:rsidR="001C3B22" w:rsidRPr="00083D7B" w:rsidRDefault="001C3B22" w:rsidP="00DA56EA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:rsidR="002A7EAA" w:rsidRPr="00083D7B" w:rsidRDefault="00DA56EA" w:rsidP="00CC1833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6C0781B0">
                  <wp:simplePos x="0" y="0"/>
                  <wp:positionH relativeFrom="column">
                    <wp:posOffset>491168</wp:posOffset>
                  </wp:positionH>
                  <wp:positionV relativeFrom="paragraph">
                    <wp:posOffset>107950</wp:posOffset>
                  </wp:positionV>
                  <wp:extent cx="341630" cy="341630"/>
                  <wp:effectExtent l="0" t="0" r="1270" b="127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833"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:rsidR="001C3B22" w:rsidRPr="00083D7B" w:rsidRDefault="001C3B22" w:rsidP="00DA56EA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:rsidR="006A5858" w:rsidRPr="00083D7B" w:rsidRDefault="00DA56EA" w:rsidP="00866BF6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333EBBF5">
                  <wp:simplePos x="0" y="0"/>
                  <wp:positionH relativeFrom="column">
                    <wp:posOffset>496883</wp:posOffset>
                  </wp:positionH>
                  <wp:positionV relativeFrom="paragraph">
                    <wp:posOffset>107950</wp:posOffset>
                  </wp:positionV>
                  <wp:extent cx="347345" cy="341630"/>
                  <wp:effectExtent l="0" t="0" r="0" b="127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EAA" w:rsidRPr="00083D7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:rsidR="002A7EAA" w:rsidRPr="00083D7B" w:rsidRDefault="002A7EAA" w:rsidP="00DA56EA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7C777B" w:rsidRPr="00083D7B" w:rsidTr="00DC2098">
        <w:tblPrEx>
          <w:tblCellMar>
            <w:left w:w="99" w:type="dxa"/>
            <w:right w:w="99" w:type="dxa"/>
          </w:tblCellMar>
        </w:tblPrEx>
        <w:trPr>
          <w:trHeight w:val="3427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777B" w:rsidRPr="00083D7B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7C777B" w:rsidRPr="00083D7B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7C777B" w:rsidRPr="00083D7B" w:rsidRDefault="007C777B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C777B" w:rsidRPr="00083D7B" w:rsidRDefault="007C777B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83D7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【溶出試験（試験液：水）】</w:t>
            </w:r>
          </w:p>
          <w:p w:rsidR="00DA56EA" w:rsidRPr="00083D7B" w:rsidRDefault="00282AB2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83D7B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3E4DEB8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44341</wp:posOffset>
                  </wp:positionV>
                  <wp:extent cx="2790190" cy="1866265"/>
                  <wp:effectExtent l="0" t="0" r="0" b="635"/>
                  <wp:wrapNone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D409A6-07B9-46A3-802B-DACBE7CD5D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C777B" w:rsidRPr="00083D7B" w:rsidRDefault="007C777B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83D7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【血糖値比較試験（人、空腹時）】</w:t>
            </w:r>
          </w:p>
          <w:p w:rsidR="00DA56EA" w:rsidRPr="00083D7B" w:rsidRDefault="00282AB2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83D7B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36FE05B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28466</wp:posOffset>
                  </wp:positionV>
                  <wp:extent cx="2790190" cy="1893570"/>
                  <wp:effectExtent l="0" t="0" r="0" b="0"/>
                  <wp:wrapNone/>
                  <wp:docPr id="14" name="グラフ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929366-2861-4CFC-A259-09C64B95CE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4A94" w:rsidRPr="00083D7B" w:rsidTr="009B2B14">
        <w:trPr>
          <w:trHeight w:val="99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4A94" w:rsidRPr="00083D7B" w:rsidRDefault="004F4A94" w:rsidP="004F4A94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4F4A94" w:rsidRPr="00083D7B" w:rsidRDefault="004F4A94" w:rsidP="004F4A94">
            <w:pPr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:rsidR="004F4A94" w:rsidRPr="00083D7B" w:rsidRDefault="004F4A94" w:rsidP="004F4A94">
            <w:pPr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24B2" w:rsidRPr="00083D7B" w:rsidTr="00811568">
        <w:trPr>
          <w:trHeight w:val="502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083D7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083D7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7F6C"/>
    <w:rsid w:val="00027FAB"/>
    <w:rsid w:val="00034A30"/>
    <w:rsid w:val="00046F10"/>
    <w:rsid w:val="00054BFF"/>
    <w:rsid w:val="00056E38"/>
    <w:rsid w:val="00062FCC"/>
    <w:rsid w:val="000715B9"/>
    <w:rsid w:val="000827DD"/>
    <w:rsid w:val="00083D7B"/>
    <w:rsid w:val="000A5D2F"/>
    <w:rsid w:val="000C1BD3"/>
    <w:rsid w:val="000D2F50"/>
    <w:rsid w:val="000E075C"/>
    <w:rsid w:val="000F75FA"/>
    <w:rsid w:val="00127179"/>
    <w:rsid w:val="0013631F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3C19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21490"/>
    <w:rsid w:val="004462F3"/>
    <w:rsid w:val="004739A6"/>
    <w:rsid w:val="00474C7A"/>
    <w:rsid w:val="00481FFD"/>
    <w:rsid w:val="00483F97"/>
    <w:rsid w:val="004E5EAE"/>
    <w:rsid w:val="004F4A94"/>
    <w:rsid w:val="0050238E"/>
    <w:rsid w:val="00535C36"/>
    <w:rsid w:val="0055239F"/>
    <w:rsid w:val="005771D8"/>
    <w:rsid w:val="00586986"/>
    <w:rsid w:val="005A435B"/>
    <w:rsid w:val="005A6CDF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11568"/>
    <w:rsid w:val="00823F7D"/>
    <w:rsid w:val="0085087C"/>
    <w:rsid w:val="00866BF6"/>
    <w:rsid w:val="0088574B"/>
    <w:rsid w:val="008A4614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C2098"/>
    <w:rsid w:val="00DD2596"/>
    <w:rsid w:val="00DE48FA"/>
    <w:rsid w:val="00DE4B91"/>
    <w:rsid w:val="00E55F26"/>
    <w:rsid w:val="00E61EAB"/>
    <w:rsid w:val="00E87059"/>
    <w:rsid w:val="00E91CA0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6761A64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148936170212774"/>
          <c:y val="9.2307692307692368E-2"/>
          <c:w val="0.71428571428571452"/>
          <c:h val="0.69230769230769251"/>
        </c:manualLayout>
      </c:layout>
      <c:scatterChart>
        <c:scatterStyle val="lineMarker"/>
        <c:varyColors val="0"/>
        <c:ser>
          <c:idx val="0"/>
          <c:order val="0"/>
          <c:tx>
            <c:v>アムロジピン錠2.5mg「BMD」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[1]Sheet2!$A$4:$A$8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</c:numCache>
            </c:numRef>
          </c:xVal>
          <c:yVal>
            <c:numRef>
              <c:f>[1]Sheet2!$C$4:$C$8</c:f>
              <c:numCache>
                <c:formatCode>General</c:formatCode>
                <c:ptCount val="5"/>
                <c:pt idx="0">
                  <c:v>0</c:v>
                </c:pt>
                <c:pt idx="1">
                  <c:v>79</c:v>
                </c:pt>
                <c:pt idx="2">
                  <c:v>88.5</c:v>
                </c:pt>
                <c:pt idx="3">
                  <c:v>91.1</c:v>
                </c:pt>
                <c:pt idx="4">
                  <c:v>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7C3-449D-863C-D696DBA70182}"/>
            </c:ext>
          </c:extLst>
        </c:ser>
        <c:ser>
          <c:idx val="1"/>
          <c:order val="1"/>
          <c:tx>
            <c:v>標準製剤（錠剤、2.5mg）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[1]Sheet2!$D$4:$D$8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15</c:v>
                  </c:pt>
                  <c:pt idx="4">
                    <c:v>0</c:v>
                  </c:pt>
                </c:numCache>
              </c:numRef>
            </c:plus>
            <c:minus>
              <c:numRef>
                <c:f>[1]Sheet2!$D$4:$D$8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15</c:v>
                  </c:pt>
                  <c:pt idx="4">
                    <c:v>0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[1]Sheet2!$A$4:$A$8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</c:numCache>
            </c:numRef>
          </c:xVal>
          <c:yVal>
            <c:numRef>
              <c:f>[1]Sheet2!$B$4:$B$8</c:f>
              <c:numCache>
                <c:formatCode>General</c:formatCode>
                <c:ptCount val="5"/>
                <c:pt idx="0">
                  <c:v>0</c:v>
                </c:pt>
                <c:pt idx="1">
                  <c:v>64.599999999999994</c:v>
                </c:pt>
                <c:pt idx="2">
                  <c:v>87.8</c:v>
                </c:pt>
                <c:pt idx="3">
                  <c:v>92.6</c:v>
                </c:pt>
                <c:pt idx="4">
                  <c:v>96.3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7C3-449D-863C-D696DBA70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891768"/>
        <c:axId val="1"/>
      </c:scatterChart>
      <c:valAx>
        <c:axId val="531891768"/>
        <c:scaling>
          <c:orientation val="minMax"/>
          <c:max val="3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時間（分）</a:t>
                </a:r>
              </a:p>
            </c:rich>
          </c:tx>
          <c:layout>
            <c:manualLayout>
              <c:xMode val="edge"/>
              <c:yMode val="edge"/>
              <c:x val="0.46808503241730542"/>
              <c:y val="0.888461838309815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  <c:majorUnit val="10"/>
      </c:valAx>
      <c:valAx>
        <c:axId val="1"/>
        <c:scaling>
          <c:orientation val="minMax"/>
          <c:max val="12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溶出率（％）</a:t>
                </a:r>
              </a:p>
            </c:rich>
          </c:tx>
          <c:layout>
            <c:manualLayout>
              <c:xMode val="edge"/>
              <c:yMode val="edge"/>
              <c:x val="3.6474248665936626E-2"/>
              <c:y val="0.25769236766196307"/>
            </c:manualLayout>
          </c:layout>
          <c:overlay val="0"/>
          <c:spPr>
            <a:noFill/>
            <a:ln w="25400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531891768"/>
        <c:crosses val="autoZero"/>
        <c:crossBetween val="midCat"/>
        <c:majorUnit val="2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1802923641167369"/>
          <c:y val="0.50411371845846009"/>
          <c:w val="0.64335401783386359"/>
          <c:h val="0.17373924794054207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363684788366442"/>
          <c:y val="0.13855194929902054"/>
          <c:w val="0.80000236743124808"/>
          <c:h val="0.64439664554125853"/>
        </c:manualLayout>
      </c:layout>
      <c:scatterChart>
        <c:scatterStyle val="lineMarker"/>
        <c:varyColors val="0"/>
        <c:ser>
          <c:idx val="0"/>
          <c:order val="0"/>
          <c:tx>
            <c:v>アムロジピン錠2.5mg「BMD」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15"/>
                <c:pt idx="0">
                  <c:v>0</c:v>
                </c:pt>
                <c:pt idx="1">
                  <c:v>-0.24776332792943101</c:v>
                </c:pt>
                <c:pt idx="2">
                  <c:v>-0.37056713291925902</c:v>
                </c:pt>
                <c:pt idx="3">
                  <c:v>-0.41891079002575199</c:v>
                </c:pt>
                <c:pt idx="4">
                  <c:v>0.53915829462845799</c:v>
                </c:pt>
                <c:pt idx="5">
                  <c:v>0.596979899159093</c:v>
                </c:pt>
                <c:pt idx="6">
                  <c:v>-0.55877507400861803</c:v>
                </c:pt>
                <c:pt idx="7">
                  <c:v>0.98039256593128699</c:v>
                </c:pt>
                <c:pt idx="8">
                  <c:v>-0.54253724910522705</c:v>
                </c:pt>
                <c:pt idx="9">
                  <c:v>-0.52672415298079001</c:v>
                </c:pt>
                <c:pt idx="10">
                  <c:v>0.79716137011272603</c:v>
                </c:pt>
                <c:pt idx="11">
                  <c:v>-0.466379226953061</c:v>
                </c:pt>
                <c:pt idx="12">
                  <c:v>0.39110900015213201</c:v>
                </c:pt>
                <c:pt idx="13">
                  <c:v>0.25452897673938801</c:v>
                </c:pt>
                <c:pt idx="14">
                  <c:v>-0.197010998000958</c:v>
                </c:pt>
              </c:numLit>
            </c:plus>
            <c:spPr>
              <a:ln w="12700">
                <a:solidFill>
                  <a:srgbClr val="FF0000"/>
                </a:solidFill>
                <a:prstDash val="solid"/>
              </a:ln>
            </c:spPr>
          </c:errBars>
          <c:xVal>
            <c:numLit>
              <c:formatCode>General</c:formatCode>
              <c:ptCount val="15"/>
              <c:pt idx="0">
                <c:v>0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12</c:v>
              </c:pt>
              <c:pt idx="11">
                <c:v>24</c:v>
              </c:pt>
              <c:pt idx="12">
                <c:v>36</c:v>
              </c:pt>
              <c:pt idx="13">
                <c:v>48</c:v>
              </c:pt>
              <c:pt idx="14">
                <c:v>72</c:v>
              </c:pt>
            </c:numLit>
          </c:xVal>
          <c:yVal>
            <c:numLit>
              <c:formatCode>General</c:formatCode>
              <c:ptCount val="15"/>
              <c:pt idx="0">
                <c:v>0</c:v>
              </c:pt>
              <c:pt idx="1">
                <c:v>0.76500000000000001</c:v>
              </c:pt>
              <c:pt idx="2">
                <c:v>1.2549999999999899</c:v>
              </c:pt>
              <c:pt idx="3">
                <c:v>1.649375</c:v>
              </c:pt>
              <c:pt idx="4">
                <c:v>2.3887499999999902</c:v>
              </c:pt>
              <c:pt idx="5">
                <c:v>2.60374999999999</c:v>
              </c:pt>
              <c:pt idx="6">
                <c:v>2.7081249999999999</c:v>
              </c:pt>
              <c:pt idx="7">
                <c:v>2.9568749999999899</c:v>
              </c:pt>
              <c:pt idx="8">
                <c:v>2.5499999999999901</c:v>
              </c:pt>
              <c:pt idx="9">
                <c:v>2.4262499999999898</c:v>
              </c:pt>
              <c:pt idx="10">
                <c:v>2.49437499999999</c:v>
              </c:pt>
              <c:pt idx="11">
                <c:v>1.6381249999999901</c:v>
              </c:pt>
              <c:pt idx="12">
                <c:v>1.329375</c:v>
              </c:pt>
              <c:pt idx="13">
                <c:v>0.94624999999999904</c:v>
              </c:pt>
              <c:pt idx="14">
                <c:v>0.61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6D0E-4C85-98B7-2C4B8F0E290E}"/>
            </c:ext>
          </c:extLst>
        </c:ser>
        <c:ser>
          <c:idx val="1"/>
          <c:order val="1"/>
          <c:tx>
            <c:v>標準製剤（錠剤、2.5mg）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15"/>
                <c:pt idx="0">
                  <c:v>0</c:v>
                </c:pt>
                <c:pt idx="1">
                  <c:v>0.38693668732752601</c:v>
                </c:pt>
                <c:pt idx="2">
                  <c:v>0.45212339300239601</c:v>
                </c:pt>
                <c:pt idx="3">
                  <c:v>0.66698544461879705</c:v>
                </c:pt>
                <c:pt idx="4">
                  <c:v>-0.49292621151649202</c:v>
                </c:pt>
                <c:pt idx="5">
                  <c:v>-0.60099778147122396</c:v>
                </c:pt>
                <c:pt idx="6">
                  <c:v>0.60020795007508398</c:v>
                </c:pt>
                <c:pt idx="7">
                  <c:v>-0.59648099997680804</c:v>
                </c:pt>
                <c:pt idx="8">
                  <c:v>0.775404195672597</c:v>
                </c:pt>
                <c:pt idx="9">
                  <c:v>0.53670445001570999</c:v>
                </c:pt>
                <c:pt idx="10">
                  <c:v>-0.50577951388591103</c:v>
                </c:pt>
                <c:pt idx="11">
                  <c:v>0.43412747743798302</c:v>
                </c:pt>
                <c:pt idx="12">
                  <c:v>-0.267279504140016</c:v>
                </c:pt>
                <c:pt idx="13">
                  <c:v>-0.20994840636054701</c:v>
                </c:pt>
                <c:pt idx="14">
                  <c:v>0.30004166377355002</c:v>
                </c:pt>
              </c:numLit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15"/>
              <c:pt idx="0">
                <c:v>0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12</c:v>
              </c:pt>
              <c:pt idx="11">
                <c:v>24</c:v>
              </c:pt>
              <c:pt idx="12">
                <c:v>36</c:v>
              </c:pt>
              <c:pt idx="13">
                <c:v>48</c:v>
              </c:pt>
              <c:pt idx="14">
                <c:v>72</c:v>
              </c:pt>
            </c:numLit>
          </c:xVal>
          <c:yVal>
            <c:numLit>
              <c:formatCode>General</c:formatCode>
              <c:ptCount val="15"/>
              <c:pt idx="0">
                <c:v>0</c:v>
              </c:pt>
              <c:pt idx="1">
                <c:v>1.135</c:v>
              </c:pt>
              <c:pt idx="2">
                <c:v>1.4933125</c:v>
              </c:pt>
              <c:pt idx="3">
                <c:v>1.9781249999999899</c:v>
              </c:pt>
              <c:pt idx="4">
                <c:v>2.288125</c:v>
              </c:pt>
              <c:pt idx="5">
                <c:v>2.5387499999999901</c:v>
              </c:pt>
              <c:pt idx="6">
                <c:v>2.7331249999999998</c:v>
              </c:pt>
              <c:pt idx="7">
                <c:v>2.6481249999999998</c:v>
              </c:pt>
              <c:pt idx="8">
                <c:v>2.6312499999999899</c:v>
              </c:pt>
              <c:pt idx="9">
                <c:v>2.43874999999999</c:v>
              </c:pt>
              <c:pt idx="10">
                <c:v>2.23562499999999</c:v>
              </c:pt>
              <c:pt idx="11">
                <c:v>1.645</c:v>
              </c:pt>
              <c:pt idx="12">
                <c:v>1.19625</c:v>
              </c:pt>
              <c:pt idx="13">
                <c:v>0.88624999999999898</c:v>
              </c:pt>
              <c:pt idx="14">
                <c:v>0.66625000000000001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6D0E-4C85-98B7-2C4B8F0E2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907840"/>
        <c:axId val="1"/>
      </c:scatterChart>
      <c:valAx>
        <c:axId val="531907840"/>
        <c:scaling>
          <c:orientation val="minMax"/>
          <c:max val="7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</a:rPr>
                  <a:t>投与後時間（hr)</a:t>
                </a:r>
              </a:p>
            </c:rich>
          </c:tx>
          <c:layout>
            <c:manualLayout>
              <c:xMode val="edge"/>
              <c:yMode val="edge"/>
              <c:x val="0.43636474248665935"/>
              <c:y val="0.8876000256065553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  <c:majorUnit val="12"/>
      </c:valAx>
      <c:valAx>
        <c:axId val="1"/>
        <c:scaling>
          <c:orientation val="minMax"/>
          <c:max val="4.2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血漿中濃度</a:t>
                </a:r>
              </a:p>
            </c:rich>
          </c:tx>
          <c:layout>
            <c:manualLayout>
              <c:xMode val="edge"/>
              <c:yMode val="edge"/>
              <c:x val="3.3333333333333333E-2"/>
              <c:y val="0.286823122719416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531907840"/>
        <c:crosses val="autoZero"/>
        <c:crossBetween val="midCat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1513027758947348"/>
          <c:y val="2.3256385634722487E-2"/>
          <c:w val="0.669720672333177"/>
          <c:h val="0.1884452979962870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1581-0E8F-4BCF-B366-0622CC44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アムロジピン錠2.5mg「BMD」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アムロジピン錠2.5mg「BMD」</dc:title>
  <dc:creator>BIOWS27</dc:creator>
  <cp:lastModifiedBy>BIOWS27</cp:lastModifiedBy>
  <cp:revision>11</cp:revision>
  <cp:lastPrinted>2018-04-05T04:04:00Z</cp:lastPrinted>
  <dcterms:created xsi:type="dcterms:W3CDTF">2018-03-23T07:39:00Z</dcterms:created>
  <dcterms:modified xsi:type="dcterms:W3CDTF">2020-03-18T05:53:00Z</dcterms:modified>
</cp:coreProperties>
</file>