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88" w:rsidRPr="00296EF4" w:rsidRDefault="00D2066D" w:rsidP="00AD7F87">
      <w:pPr>
        <w:spacing w:line="500" w:lineRule="exact"/>
        <w:jc w:val="center"/>
        <w:rPr>
          <w:rFonts w:ascii="Arial" w:eastAsia="ＭＳ Ｐゴシック" w:hAnsi="Arial"/>
          <w:sz w:val="28"/>
          <w:szCs w:val="28"/>
        </w:rPr>
      </w:pPr>
      <w:r>
        <w:rPr>
          <w:rFonts w:ascii="Arial" w:eastAsia="ＭＳ Ｐゴシック" w:hAnsi="Arial"/>
          <w:b/>
          <w:noProof/>
          <w:sz w:val="28"/>
          <w:szCs w:val="28"/>
        </w:rPr>
        <mc:AlternateContent>
          <mc:Choice Requires="wps">
            <w:drawing>
              <wp:anchor distT="0" distB="0" distL="114300" distR="114300" simplePos="0" relativeHeight="251654656" behindDoc="0" locked="0" layoutInCell="1" allowOverlap="1">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7B5CF2">
                              <w:rPr>
                                <w:rFonts w:ascii="Arial" w:eastAsia="ＭＳ Ｐゴシック" w:hAnsi="Arial"/>
                                <w:sz w:val="16"/>
                                <w:szCs w:val="16"/>
                              </w:rPr>
                              <w:t>18</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UtA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" filled="f" stroked="f">
                <v:textbo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7B5CF2">
                        <w:rPr>
                          <w:rFonts w:ascii="Arial" w:eastAsia="ＭＳ Ｐゴシック" w:hAnsi="Arial"/>
                          <w:sz w:val="16"/>
                          <w:szCs w:val="16"/>
                        </w:rPr>
                        <w:t>18</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7B5CF2">
        <w:rPr>
          <w:rFonts w:ascii="Arial" w:eastAsia="ＭＳ Ｐゴシック" w:hAnsi="Arial" w:hint="eastAsia"/>
          <w:b/>
          <w:noProof/>
          <w:sz w:val="32"/>
          <w:szCs w:val="32"/>
        </w:rPr>
        <w:t>アカルボース錠</w:t>
      </w:r>
      <w:r w:rsidR="00E460EA">
        <w:rPr>
          <w:rFonts w:ascii="Arial" w:eastAsia="ＭＳ Ｐゴシック" w:hAnsi="Arial" w:hint="eastAsia"/>
          <w:b/>
          <w:noProof/>
          <w:sz w:val="32"/>
          <w:szCs w:val="32"/>
        </w:rPr>
        <w:t>10</w:t>
      </w:r>
      <w:r w:rsidR="007B5CF2">
        <w:rPr>
          <w:rFonts w:ascii="Arial" w:eastAsia="ＭＳ Ｐゴシック" w:hAnsi="Arial" w:hint="eastAsia"/>
          <w:b/>
          <w:noProof/>
          <w:sz w:val="32"/>
          <w:szCs w:val="32"/>
        </w:rPr>
        <w:t>0mg</w:t>
      </w:r>
      <w:r w:rsidR="007B5CF2" w:rsidRPr="002E3127">
        <w:rPr>
          <w:rFonts w:ascii="Arial" w:eastAsia="ＭＳ Ｐゴシック" w:hAnsi="Arial" w:hint="eastAsia"/>
          <w:b/>
          <w:noProof/>
          <w:sz w:val="32"/>
          <w:szCs w:val="32"/>
        </w:rPr>
        <w:t>「</w:t>
      </w:r>
      <w:r w:rsidR="007B5CF2" w:rsidRPr="002E3127">
        <w:rPr>
          <w:rFonts w:ascii="Arial" w:eastAsia="ＭＳ Ｐゴシック" w:hAnsi="Arial" w:hint="eastAsia"/>
          <w:b/>
          <w:noProof/>
          <w:sz w:val="32"/>
          <w:szCs w:val="32"/>
        </w:rPr>
        <w:t>BMD</w:t>
      </w:r>
      <w:r w:rsidR="007B5CF2" w:rsidRPr="002E3127">
        <w:rPr>
          <w:rFonts w:ascii="Arial" w:eastAsia="ＭＳ Ｐゴシック" w:hAnsi="Arial" w:hint="eastAsia"/>
          <w:b/>
          <w:noProof/>
          <w:sz w:val="32"/>
          <w:szCs w:val="32"/>
        </w:rPr>
        <w:t>」</w:t>
      </w:r>
      <w:r w:rsidR="007B5CF2" w:rsidRPr="002E3127">
        <w:rPr>
          <w:rFonts w:ascii="Arial" w:eastAsia="ＭＳ Ｐゴシック" w:hAnsi="Arial" w:hint="eastAsia"/>
          <w:b/>
          <w:sz w:val="32"/>
          <w:szCs w:val="32"/>
        </w:rPr>
        <w:t xml:space="preserve">　製品別比較表（案）</w:t>
      </w:r>
    </w:p>
    <w:tbl>
      <w:tblPr>
        <w:tblW w:w="102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713"/>
        <w:gridCol w:w="1832"/>
        <w:gridCol w:w="294"/>
        <w:gridCol w:w="2126"/>
        <w:gridCol w:w="2126"/>
      </w:tblGrid>
      <w:tr w:rsidR="00F024B2" w:rsidRPr="00296EF4" w:rsidTr="008E45C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296EF4" w:rsidRDefault="002D7188" w:rsidP="006D0AEE">
            <w:pPr>
              <w:jc w:val="center"/>
              <w:rPr>
                <w:rFonts w:ascii="Arial" w:eastAsia="ＭＳ Ｐゴシック" w:hAnsi="Arial"/>
              </w:rPr>
            </w:pPr>
          </w:p>
        </w:tc>
        <w:tc>
          <w:tcPr>
            <w:tcW w:w="4545" w:type="dxa"/>
            <w:gridSpan w:val="2"/>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296EF4" w:rsidRDefault="002D7188" w:rsidP="00903536">
            <w:pPr>
              <w:jc w:val="center"/>
              <w:rPr>
                <w:rFonts w:ascii="Arial" w:eastAsia="ＭＳ Ｐゴシック" w:hAnsi="Arial"/>
                <w:b/>
                <w:szCs w:val="21"/>
              </w:rPr>
            </w:pPr>
            <w:r w:rsidRPr="00296EF4">
              <w:rPr>
                <w:rFonts w:ascii="Arial" w:eastAsia="ＭＳ Ｐゴシック" w:hAnsi="Arial" w:hint="eastAsia"/>
                <w:b/>
                <w:szCs w:val="21"/>
              </w:rPr>
              <w:t>後発品</w:t>
            </w:r>
          </w:p>
        </w:tc>
        <w:tc>
          <w:tcPr>
            <w:tcW w:w="4546" w:type="dxa"/>
            <w:gridSpan w:val="3"/>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296EF4" w:rsidRDefault="00AD7F87" w:rsidP="00903536">
            <w:pPr>
              <w:jc w:val="center"/>
              <w:rPr>
                <w:rFonts w:ascii="Arial" w:eastAsia="ＭＳ Ｐゴシック" w:hAnsi="Arial"/>
                <w:b/>
                <w:szCs w:val="21"/>
              </w:rPr>
            </w:pPr>
            <w:r>
              <w:rPr>
                <w:rFonts w:ascii="Arial" w:eastAsia="ＭＳ Ｐゴシック" w:hAnsi="Arial" w:hint="eastAsia"/>
                <w:b/>
                <w:szCs w:val="21"/>
              </w:rPr>
              <w:t>標準製剤</w:t>
            </w:r>
          </w:p>
        </w:tc>
      </w:tr>
      <w:tr w:rsidR="007B5CF2" w:rsidRPr="00296EF4" w:rsidTr="007C777B">
        <w:trPr>
          <w:trHeight w:val="616"/>
        </w:trPr>
        <w:tc>
          <w:tcPr>
            <w:tcW w:w="1134" w:type="dxa"/>
            <w:tcBorders>
              <w:top w:val="double" w:sz="4" w:space="0" w:color="auto"/>
              <w:left w:val="single" w:sz="12" w:space="0" w:color="000000"/>
              <w:right w:val="single" w:sz="12" w:space="0" w:color="000000"/>
            </w:tcBorders>
            <w:vAlign w:val="center"/>
          </w:tcPr>
          <w:p w:rsidR="007B5CF2" w:rsidRPr="00296EF4" w:rsidRDefault="007B5CF2" w:rsidP="007B5CF2">
            <w:pPr>
              <w:jc w:val="center"/>
              <w:rPr>
                <w:rFonts w:ascii="Arial" w:eastAsia="ＭＳ Ｐゴシック" w:hAnsi="Arial"/>
              </w:rPr>
            </w:pPr>
            <w:r w:rsidRPr="00296EF4">
              <w:rPr>
                <w:rFonts w:ascii="Arial" w:eastAsia="ＭＳ Ｐゴシック" w:hAnsi="Arial" w:hint="eastAsia"/>
                <w:b/>
                <w:szCs w:val="21"/>
              </w:rPr>
              <w:t>会社名</w:t>
            </w:r>
          </w:p>
        </w:tc>
        <w:tc>
          <w:tcPr>
            <w:tcW w:w="4545" w:type="dxa"/>
            <w:gridSpan w:val="2"/>
            <w:tcBorders>
              <w:top w:val="double" w:sz="4" w:space="0" w:color="auto"/>
              <w:left w:val="single" w:sz="12" w:space="0" w:color="000000"/>
              <w:right w:val="single" w:sz="12" w:space="0" w:color="000000"/>
            </w:tcBorders>
            <w:vAlign w:val="center"/>
          </w:tcPr>
          <w:p w:rsidR="007B5CF2" w:rsidRPr="00CD4D15" w:rsidRDefault="007B5CF2" w:rsidP="007B5CF2">
            <w:pPr>
              <w:jc w:val="center"/>
              <w:rPr>
                <w:rFonts w:ascii="Arial" w:eastAsia="ＭＳ Ｐゴシック" w:hAnsi="Arial"/>
                <w:szCs w:val="21"/>
              </w:rPr>
            </w:pPr>
            <w:r w:rsidRPr="00CD4D15">
              <w:rPr>
                <w:rFonts w:ascii="Arial" w:eastAsia="ＭＳ Ｐゴシック" w:hAnsi="Arial" w:hint="eastAsia"/>
                <w:szCs w:val="21"/>
              </w:rPr>
              <w:t>株式会社ビオメディクス</w:t>
            </w:r>
          </w:p>
        </w:tc>
        <w:tc>
          <w:tcPr>
            <w:tcW w:w="4546" w:type="dxa"/>
            <w:gridSpan w:val="3"/>
            <w:tcBorders>
              <w:top w:val="double" w:sz="4" w:space="0" w:color="auto"/>
              <w:left w:val="single" w:sz="12" w:space="0" w:color="000000"/>
              <w:right w:val="single" w:sz="12" w:space="0" w:color="000000"/>
            </w:tcBorders>
            <w:vAlign w:val="center"/>
          </w:tcPr>
          <w:p w:rsidR="007B5CF2" w:rsidRPr="00CD4D15" w:rsidRDefault="007B5CF2" w:rsidP="007B5CF2">
            <w:pPr>
              <w:jc w:val="center"/>
              <w:rPr>
                <w:rFonts w:ascii="Arial" w:eastAsia="ＭＳ Ｐゴシック" w:hAnsi="Arial"/>
                <w:szCs w:val="21"/>
              </w:rPr>
            </w:pPr>
            <w:r>
              <w:rPr>
                <w:rFonts w:ascii="Arial" w:eastAsia="ＭＳ Ｐゴシック" w:hAnsi="Arial" w:hint="eastAsia"/>
                <w:szCs w:val="21"/>
              </w:rPr>
              <w:t>-</w:t>
            </w:r>
          </w:p>
        </w:tc>
      </w:tr>
      <w:tr w:rsidR="007B5CF2" w:rsidRPr="00296EF4" w:rsidTr="007C777B">
        <w:trPr>
          <w:trHeight w:val="616"/>
        </w:trPr>
        <w:tc>
          <w:tcPr>
            <w:tcW w:w="1134" w:type="dxa"/>
            <w:tcBorders>
              <w:left w:val="single" w:sz="12" w:space="0" w:color="000000"/>
              <w:right w:val="single" w:sz="12" w:space="0" w:color="000000"/>
            </w:tcBorders>
            <w:vAlign w:val="center"/>
          </w:tcPr>
          <w:p w:rsidR="007B5CF2" w:rsidRPr="00296EF4" w:rsidRDefault="009B467C" w:rsidP="007B5CF2">
            <w:pPr>
              <w:jc w:val="center"/>
              <w:rPr>
                <w:rFonts w:ascii="Arial" w:eastAsia="ＭＳ Ｐゴシック" w:hAnsi="Arial"/>
              </w:rPr>
            </w:pPr>
            <w:r>
              <w:rPr>
                <w:rFonts w:ascii="Arial" w:eastAsia="ＭＳ Ｐゴシック" w:hAnsi="Arial" w:hint="eastAsia"/>
                <w:b/>
                <w:szCs w:val="21"/>
              </w:rPr>
              <w:t>製品</w:t>
            </w:r>
            <w:r w:rsidR="007B5CF2" w:rsidRPr="00296EF4">
              <w:rPr>
                <w:rFonts w:ascii="Arial" w:eastAsia="ＭＳ Ｐゴシック" w:hAnsi="Arial" w:hint="eastAsia"/>
                <w:b/>
                <w:szCs w:val="21"/>
              </w:rPr>
              <w:t>名</w:t>
            </w:r>
          </w:p>
        </w:tc>
        <w:tc>
          <w:tcPr>
            <w:tcW w:w="4545" w:type="dxa"/>
            <w:gridSpan w:val="2"/>
            <w:tcBorders>
              <w:left w:val="single" w:sz="12" w:space="0" w:color="000000"/>
              <w:right w:val="single" w:sz="12" w:space="0" w:color="000000"/>
            </w:tcBorders>
            <w:vAlign w:val="center"/>
          </w:tcPr>
          <w:p w:rsidR="007B5CF2" w:rsidRPr="00CD4D15" w:rsidRDefault="007B5CF2" w:rsidP="007B5CF2">
            <w:pPr>
              <w:ind w:leftChars="-7" w:hangingChars="7" w:hanging="15"/>
              <w:jc w:val="center"/>
              <w:rPr>
                <w:rFonts w:ascii="Arial" w:eastAsia="ＭＳ Ｐゴシック" w:hAnsi="Arial"/>
                <w:szCs w:val="21"/>
              </w:rPr>
            </w:pPr>
            <w:r w:rsidRPr="00B46375">
              <w:rPr>
                <w:rFonts w:ascii="Arial" w:eastAsia="ＭＳ Ｐゴシック" w:hAnsi="Arial" w:hint="eastAsia"/>
                <w:szCs w:val="21"/>
              </w:rPr>
              <w:t>アカルボース錠</w:t>
            </w:r>
            <w:r w:rsidR="00E460EA">
              <w:rPr>
                <w:rFonts w:ascii="Arial" w:eastAsia="ＭＳ Ｐゴシック" w:hAnsi="Arial" w:hint="eastAsia"/>
                <w:szCs w:val="21"/>
              </w:rPr>
              <w:t>10</w:t>
            </w:r>
            <w:r w:rsidRPr="00B46375">
              <w:rPr>
                <w:rFonts w:ascii="Arial" w:eastAsia="ＭＳ Ｐゴシック" w:hAnsi="Arial" w:hint="eastAsia"/>
                <w:szCs w:val="21"/>
              </w:rPr>
              <w:t>0mg</w:t>
            </w:r>
            <w:r w:rsidRPr="00B46375">
              <w:rPr>
                <w:rFonts w:ascii="Arial" w:eastAsia="ＭＳ Ｐゴシック" w:hAnsi="Arial" w:hint="eastAsia"/>
                <w:szCs w:val="21"/>
              </w:rPr>
              <w:t>「</w:t>
            </w:r>
            <w:r w:rsidRPr="00B46375">
              <w:rPr>
                <w:rFonts w:ascii="Arial" w:eastAsia="ＭＳ Ｐゴシック" w:hAnsi="Arial" w:hint="eastAsia"/>
                <w:szCs w:val="21"/>
              </w:rPr>
              <w:t>BMD</w:t>
            </w:r>
            <w:r w:rsidRPr="00B46375">
              <w:rPr>
                <w:rFonts w:ascii="Arial" w:eastAsia="ＭＳ Ｐゴシック" w:hAnsi="Arial" w:hint="eastAsia"/>
                <w:szCs w:val="21"/>
              </w:rPr>
              <w:t xml:space="preserve">」　</w:t>
            </w:r>
          </w:p>
        </w:tc>
        <w:tc>
          <w:tcPr>
            <w:tcW w:w="4546" w:type="dxa"/>
            <w:gridSpan w:val="3"/>
            <w:tcBorders>
              <w:left w:val="single" w:sz="12" w:space="0" w:color="000000"/>
              <w:right w:val="single" w:sz="12" w:space="0" w:color="000000"/>
            </w:tcBorders>
            <w:shd w:val="clear" w:color="auto" w:fill="auto"/>
            <w:vAlign w:val="center"/>
          </w:tcPr>
          <w:p w:rsidR="007B5CF2" w:rsidRPr="00CD4D15" w:rsidRDefault="007B5CF2" w:rsidP="007B5CF2">
            <w:pPr>
              <w:ind w:leftChars="-7" w:hangingChars="7" w:hanging="15"/>
              <w:jc w:val="center"/>
              <w:rPr>
                <w:rFonts w:ascii="Arial" w:eastAsia="ＭＳ Ｐゴシック" w:hAnsi="Arial"/>
                <w:szCs w:val="21"/>
              </w:rPr>
            </w:pPr>
            <w:r w:rsidRPr="00B46375">
              <w:rPr>
                <w:rFonts w:ascii="Arial" w:eastAsia="ＭＳ Ｐゴシック" w:hAnsi="Arial" w:hint="eastAsia"/>
                <w:szCs w:val="21"/>
              </w:rPr>
              <w:t>アカルボース錠</w:t>
            </w:r>
            <w:r w:rsidR="00E460EA">
              <w:rPr>
                <w:rFonts w:ascii="Arial" w:eastAsia="ＭＳ Ｐゴシック" w:hAnsi="Arial" w:hint="eastAsia"/>
                <w:szCs w:val="21"/>
              </w:rPr>
              <w:t>100</w:t>
            </w:r>
            <w:r w:rsidRPr="00B46375">
              <w:rPr>
                <w:rFonts w:ascii="Arial" w:eastAsia="ＭＳ Ｐゴシック" w:hAnsi="Arial" w:hint="eastAsia"/>
                <w:szCs w:val="21"/>
              </w:rPr>
              <w:t>mg</w:t>
            </w:r>
            <w:r w:rsidR="009B467C" w:rsidRPr="009B467C">
              <w:rPr>
                <w:rFonts w:ascii="Arial" w:eastAsia="ＭＳ Ｐゴシック" w:hAnsi="Arial" w:hint="eastAsia"/>
                <w:szCs w:val="21"/>
              </w:rPr>
              <w:t>（一般名）</w:t>
            </w:r>
          </w:p>
        </w:tc>
      </w:tr>
      <w:tr w:rsidR="007B5CF2" w:rsidRPr="00296EF4" w:rsidTr="007C777B">
        <w:trPr>
          <w:trHeight w:val="616"/>
        </w:trPr>
        <w:tc>
          <w:tcPr>
            <w:tcW w:w="1134" w:type="dxa"/>
            <w:tcBorders>
              <w:left w:val="single" w:sz="12" w:space="0" w:color="000000"/>
              <w:right w:val="single" w:sz="12" w:space="0" w:color="000000"/>
            </w:tcBorders>
            <w:vAlign w:val="center"/>
          </w:tcPr>
          <w:p w:rsidR="007B5CF2" w:rsidRPr="00296EF4" w:rsidRDefault="007B5CF2" w:rsidP="007B5CF2">
            <w:pPr>
              <w:jc w:val="center"/>
              <w:rPr>
                <w:rFonts w:ascii="Arial" w:eastAsia="ＭＳ Ｐゴシック" w:hAnsi="Arial"/>
                <w:b/>
                <w:szCs w:val="21"/>
              </w:rPr>
            </w:pPr>
            <w:r w:rsidRPr="00296EF4">
              <w:rPr>
                <w:rFonts w:ascii="Arial" w:eastAsia="ＭＳ Ｐゴシック" w:hAnsi="Arial" w:hint="eastAsia"/>
                <w:b/>
                <w:szCs w:val="21"/>
              </w:rPr>
              <w:t>薬</w:t>
            </w:r>
            <w:r>
              <w:rPr>
                <w:rFonts w:ascii="Arial" w:eastAsia="ＭＳ Ｐゴシック" w:hAnsi="Arial" w:hint="eastAsia"/>
                <w:b/>
                <w:szCs w:val="21"/>
              </w:rPr>
              <w:t xml:space="preserve">　</w:t>
            </w:r>
            <w:r w:rsidRPr="00296EF4">
              <w:rPr>
                <w:rFonts w:ascii="Arial" w:eastAsia="ＭＳ Ｐゴシック" w:hAnsi="Arial" w:hint="eastAsia"/>
                <w:b/>
                <w:szCs w:val="21"/>
              </w:rPr>
              <w:t>価</w:t>
            </w:r>
          </w:p>
        </w:tc>
        <w:tc>
          <w:tcPr>
            <w:tcW w:w="4545" w:type="dxa"/>
            <w:gridSpan w:val="2"/>
            <w:tcBorders>
              <w:left w:val="single" w:sz="12" w:space="0" w:color="000000"/>
              <w:right w:val="single" w:sz="12" w:space="0" w:color="000000"/>
            </w:tcBorders>
            <w:shd w:val="clear" w:color="auto" w:fill="auto"/>
            <w:vAlign w:val="center"/>
          </w:tcPr>
          <w:p w:rsidR="007B5CF2" w:rsidRPr="00CD4D15" w:rsidRDefault="00E460EA" w:rsidP="007B5CF2">
            <w:pPr>
              <w:jc w:val="center"/>
              <w:rPr>
                <w:rFonts w:ascii="Arial" w:eastAsia="ＭＳ Ｐゴシック" w:hAnsi="Arial"/>
                <w:color w:val="000000"/>
                <w:szCs w:val="21"/>
              </w:rPr>
            </w:pPr>
            <w:r>
              <w:rPr>
                <w:rFonts w:ascii="Arial" w:eastAsia="ＭＳ Ｐゴシック" w:hAnsi="Arial" w:hint="eastAsia"/>
                <w:color w:val="000000" w:themeColor="text1"/>
                <w:szCs w:val="21"/>
              </w:rPr>
              <w:t>19.2</w:t>
            </w:r>
            <w:r w:rsidR="007B5CF2">
              <w:rPr>
                <w:rFonts w:ascii="Arial" w:eastAsia="ＭＳ Ｐゴシック" w:hAnsi="Arial" w:hint="eastAsia"/>
                <w:color w:val="000000" w:themeColor="text1"/>
                <w:szCs w:val="21"/>
              </w:rPr>
              <w:t>0</w:t>
            </w:r>
            <w:r w:rsidR="007B5CF2">
              <w:rPr>
                <w:rFonts w:ascii="Arial" w:eastAsia="ＭＳ Ｐゴシック" w:hAnsi="Arial" w:hint="eastAsia"/>
                <w:color w:val="000000" w:themeColor="text1"/>
                <w:szCs w:val="21"/>
              </w:rPr>
              <w:t>円</w:t>
            </w:r>
            <w:r w:rsidR="007B5CF2" w:rsidRPr="00CD4D15">
              <w:rPr>
                <w:rFonts w:ascii="Arial" w:eastAsia="ＭＳ Ｐゴシック" w:hAnsi="Arial" w:hint="eastAsia"/>
                <w:color w:val="000000" w:themeColor="text1"/>
                <w:szCs w:val="21"/>
              </w:rPr>
              <w:t>／</w:t>
            </w:r>
            <w:r w:rsidR="00072B68">
              <w:rPr>
                <w:rFonts w:ascii="Arial" w:eastAsia="ＭＳ Ｐゴシック" w:hAnsi="Arial" w:hint="eastAsia"/>
                <w:color w:val="000000" w:themeColor="text1"/>
                <w:szCs w:val="21"/>
              </w:rPr>
              <w:t>錠</w:t>
            </w:r>
            <w:bookmarkStart w:id="0" w:name="_GoBack"/>
            <w:bookmarkEnd w:id="0"/>
          </w:p>
        </w:tc>
        <w:tc>
          <w:tcPr>
            <w:tcW w:w="4546" w:type="dxa"/>
            <w:gridSpan w:val="3"/>
            <w:tcBorders>
              <w:left w:val="single" w:sz="12" w:space="0" w:color="000000"/>
              <w:right w:val="single" w:sz="12" w:space="0" w:color="000000"/>
            </w:tcBorders>
            <w:shd w:val="clear" w:color="auto" w:fill="auto"/>
            <w:vAlign w:val="center"/>
          </w:tcPr>
          <w:p w:rsidR="007B5CF2" w:rsidRPr="00CD4D15" w:rsidRDefault="00E460EA" w:rsidP="007B5CF2">
            <w:pPr>
              <w:jc w:val="center"/>
              <w:rPr>
                <w:rFonts w:ascii="Arial" w:eastAsia="ＭＳ Ｐゴシック" w:hAnsi="Arial"/>
                <w:color w:val="000000"/>
                <w:szCs w:val="21"/>
              </w:rPr>
            </w:pPr>
            <w:r>
              <w:rPr>
                <w:rFonts w:ascii="Arial" w:eastAsia="ＭＳ Ｐゴシック" w:hAnsi="Arial" w:hint="eastAsia"/>
                <w:color w:val="000000"/>
                <w:szCs w:val="21"/>
              </w:rPr>
              <w:t>32.70</w:t>
            </w:r>
            <w:r w:rsidR="007B5CF2">
              <w:rPr>
                <w:rFonts w:ascii="Arial" w:eastAsia="ＭＳ Ｐゴシック" w:hAnsi="Arial" w:hint="eastAsia"/>
                <w:color w:val="000000"/>
                <w:szCs w:val="21"/>
              </w:rPr>
              <w:t>円</w:t>
            </w:r>
            <w:r w:rsidR="007B5CF2" w:rsidRPr="00CD4D15">
              <w:rPr>
                <w:rFonts w:ascii="Arial" w:eastAsia="ＭＳ Ｐゴシック" w:hAnsi="Arial" w:hint="eastAsia"/>
                <w:color w:val="000000"/>
                <w:szCs w:val="21"/>
              </w:rPr>
              <w:t>／</w:t>
            </w:r>
            <w:r w:rsidR="00072B68">
              <w:rPr>
                <w:rFonts w:ascii="Arial" w:eastAsia="ＭＳ Ｐゴシック" w:hAnsi="Arial" w:hint="eastAsia"/>
                <w:color w:val="000000"/>
                <w:szCs w:val="21"/>
              </w:rPr>
              <w:t>錠</w:t>
            </w:r>
          </w:p>
        </w:tc>
      </w:tr>
      <w:tr w:rsidR="007B5CF2" w:rsidRPr="00296EF4" w:rsidTr="007C777B">
        <w:trPr>
          <w:trHeight w:val="616"/>
        </w:trPr>
        <w:tc>
          <w:tcPr>
            <w:tcW w:w="1134" w:type="dxa"/>
            <w:tcBorders>
              <w:left w:val="single" w:sz="12" w:space="0" w:color="000000"/>
              <w:right w:val="single" w:sz="12" w:space="0" w:color="000000"/>
            </w:tcBorders>
            <w:vAlign w:val="center"/>
          </w:tcPr>
          <w:p w:rsidR="007B5CF2" w:rsidRPr="00296EF4" w:rsidRDefault="007B5CF2" w:rsidP="007B5CF2">
            <w:pPr>
              <w:jc w:val="center"/>
              <w:rPr>
                <w:rFonts w:ascii="Arial" w:eastAsia="ＭＳ Ｐゴシック" w:hAnsi="Arial"/>
                <w:b/>
                <w:szCs w:val="21"/>
              </w:rPr>
            </w:pPr>
            <w:r>
              <w:rPr>
                <w:rFonts w:ascii="Arial" w:eastAsia="ＭＳ Ｐゴシック" w:hAnsi="Arial" w:hint="eastAsia"/>
                <w:b/>
                <w:szCs w:val="21"/>
              </w:rPr>
              <w:t>規　格</w:t>
            </w:r>
          </w:p>
        </w:tc>
        <w:tc>
          <w:tcPr>
            <w:tcW w:w="9091" w:type="dxa"/>
            <w:gridSpan w:val="5"/>
            <w:tcBorders>
              <w:left w:val="single" w:sz="12" w:space="0" w:color="000000"/>
              <w:right w:val="single" w:sz="12" w:space="0" w:color="000000"/>
            </w:tcBorders>
            <w:vAlign w:val="center"/>
          </w:tcPr>
          <w:p w:rsidR="007B5CF2" w:rsidRPr="00CD4D15" w:rsidRDefault="007B5CF2" w:rsidP="007B5CF2">
            <w:pPr>
              <w:jc w:val="center"/>
              <w:rPr>
                <w:rFonts w:ascii="Arial" w:eastAsia="ＭＳ Ｐゴシック" w:hAnsi="Arial"/>
                <w:szCs w:val="21"/>
              </w:rPr>
            </w:pPr>
            <w:r w:rsidRPr="00B46375">
              <w:rPr>
                <w:rFonts w:ascii="Arial" w:eastAsia="ＭＳ Ｐゴシック" w:hAnsi="Arial" w:hint="eastAsia"/>
                <w:szCs w:val="21"/>
              </w:rPr>
              <w:t>１錠中、アカルボース</w:t>
            </w:r>
            <w:r w:rsidR="00E460EA">
              <w:rPr>
                <w:rFonts w:ascii="Arial" w:eastAsia="ＭＳ Ｐゴシック" w:hAnsi="Arial" w:hint="eastAsia"/>
                <w:szCs w:val="21"/>
              </w:rPr>
              <w:t>10</w:t>
            </w:r>
            <w:r w:rsidRPr="00B46375">
              <w:rPr>
                <w:rFonts w:ascii="Arial" w:eastAsia="ＭＳ Ｐゴシック" w:hAnsi="Arial" w:hint="eastAsia"/>
                <w:szCs w:val="21"/>
              </w:rPr>
              <w:t>0</w:t>
            </w:r>
            <w:r w:rsidRPr="00B46375">
              <w:rPr>
                <w:rFonts w:ascii="Arial" w:eastAsia="ＭＳ Ｐゴシック" w:hAnsi="Arial" w:hint="eastAsia"/>
                <w:szCs w:val="21"/>
              </w:rPr>
              <w:t>㎎</w:t>
            </w:r>
            <w:r w:rsidRPr="00B46375">
              <w:rPr>
                <w:rFonts w:ascii="Arial" w:eastAsia="ＭＳ Ｐゴシック" w:hAnsi="Arial" w:hint="eastAsia"/>
                <w:szCs w:val="21"/>
              </w:rPr>
              <w:t xml:space="preserve"> </w:t>
            </w:r>
            <w:r w:rsidRPr="00B46375">
              <w:rPr>
                <w:rFonts w:ascii="Arial" w:eastAsia="ＭＳ Ｐゴシック" w:hAnsi="Arial" w:hint="eastAsia"/>
                <w:szCs w:val="21"/>
              </w:rPr>
              <w:t>を含有する。</w:t>
            </w:r>
          </w:p>
        </w:tc>
      </w:tr>
      <w:tr w:rsidR="007B5CF2" w:rsidRPr="00296EF4" w:rsidTr="007C777B">
        <w:trPr>
          <w:trHeight w:val="616"/>
        </w:trPr>
        <w:tc>
          <w:tcPr>
            <w:tcW w:w="1134" w:type="dxa"/>
            <w:tcBorders>
              <w:left w:val="single" w:sz="12" w:space="0" w:color="000000"/>
              <w:right w:val="single" w:sz="12" w:space="0" w:color="000000"/>
            </w:tcBorders>
            <w:vAlign w:val="center"/>
          </w:tcPr>
          <w:p w:rsidR="007B5CF2" w:rsidRPr="00296EF4" w:rsidRDefault="007B5CF2" w:rsidP="007B5CF2">
            <w:pPr>
              <w:jc w:val="center"/>
              <w:rPr>
                <w:rFonts w:ascii="Arial" w:eastAsia="ＭＳ Ｐゴシック" w:hAnsi="Arial"/>
                <w:b/>
                <w:szCs w:val="21"/>
              </w:rPr>
            </w:pPr>
            <w:r w:rsidRPr="007B5CF2">
              <w:rPr>
                <w:rFonts w:ascii="Arial" w:eastAsia="ＭＳ Ｐゴシック" w:hAnsi="Arial" w:hint="eastAsia"/>
                <w:b/>
                <w:spacing w:val="79"/>
                <w:kern w:val="0"/>
                <w:szCs w:val="21"/>
                <w:fitText w:val="579" w:id="-377303296"/>
              </w:rPr>
              <w:t>薬</w:t>
            </w:r>
            <w:r w:rsidRPr="007B5CF2">
              <w:rPr>
                <w:rFonts w:ascii="Arial" w:eastAsia="ＭＳ Ｐゴシック" w:hAnsi="Arial" w:hint="eastAsia"/>
                <w:b/>
                <w:kern w:val="0"/>
                <w:szCs w:val="21"/>
                <w:fitText w:val="579" w:id="-377303296"/>
              </w:rPr>
              <w:t>効</w:t>
            </w:r>
          </w:p>
          <w:p w:rsidR="007B5CF2" w:rsidRPr="00296EF4" w:rsidRDefault="007B5CF2" w:rsidP="007B5CF2">
            <w:pPr>
              <w:jc w:val="center"/>
              <w:rPr>
                <w:rFonts w:ascii="Arial" w:eastAsia="ＭＳ Ｐゴシック" w:hAnsi="Arial"/>
                <w:b/>
                <w:szCs w:val="21"/>
              </w:rPr>
            </w:pPr>
            <w:r w:rsidRPr="00296EF4">
              <w:rPr>
                <w:rFonts w:ascii="Arial" w:eastAsia="ＭＳ Ｐゴシック" w:hAnsi="Arial" w:hint="eastAsia"/>
                <w:b/>
                <w:szCs w:val="21"/>
              </w:rPr>
              <w:t>分類名</w:t>
            </w:r>
          </w:p>
        </w:tc>
        <w:tc>
          <w:tcPr>
            <w:tcW w:w="9091" w:type="dxa"/>
            <w:gridSpan w:val="5"/>
            <w:tcBorders>
              <w:left w:val="single" w:sz="12" w:space="0" w:color="000000"/>
              <w:right w:val="single" w:sz="12" w:space="0" w:color="000000"/>
            </w:tcBorders>
            <w:shd w:val="clear" w:color="auto" w:fill="auto"/>
            <w:vAlign w:val="center"/>
          </w:tcPr>
          <w:p w:rsidR="007B5CF2" w:rsidRPr="00CD4D15" w:rsidRDefault="007B5CF2" w:rsidP="007B5CF2">
            <w:pPr>
              <w:jc w:val="center"/>
              <w:rPr>
                <w:rFonts w:ascii="Arial" w:eastAsia="ＭＳ Ｐゴシック" w:hAnsi="Arial"/>
                <w:szCs w:val="21"/>
              </w:rPr>
            </w:pPr>
            <w:r w:rsidRPr="00B46375">
              <w:rPr>
                <w:rFonts w:ascii="Arial" w:eastAsia="ＭＳ Ｐゴシック" w:hAnsi="Arial" w:hint="eastAsia"/>
                <w:szCs w:val="21"/>
              </w:rPr>
              <w:t>食後過血糖改善剤</w:t>
            </w:r>
          </w:p>
        </w:tc>
      </w:tr>
      <w:tr w:rsidR="007B5CF2" w:rsidRPr="00296EF4" w:rsidTr="007C777B">
        <w:trPr>
          <w:trHeight w:val="980"/>
        </w:trPr>
        <w:tc>
          <w:tcPr>
            <w:tcW w:w="1134" w:type="dxa"/>
            <w:tcBorders>
              <w:left w:val="single" w:sz="12" w:space="0" w:color="000000"/>
              <w:right w:val="single" w:sz="12" w:space="0" w:color="000000"/>
            </w:tcBorders>
            <w:vAlign w:val="center"/>
          </w:tcPr>
          <w:p w:rsidR="007B5CF2" w:rsidRDefault="007B5CF2" w:rsidP="007B5CF2">
            <w:pPr>
              <w:jc w:val="center"/>
              <w:rPr>
                <w:rFonts w:ascii="Arial" w:eastAsia="ＭＳ Ｐゴシック" w:hAnsi="Arial"/>
                <w:b/>
                <w:kern w:val="0"/>
                <w:szCs w:val="21"/>
              </w:rPr>
            </w:pPr>
            <w:r>
              <w:rPr>
                <w:rFonts w:ascii="Arial" w:eastAsia="ＭＳ Ｐゴシック" w:hAnsi="Arial" w:hint="eastAsia"/>
                <w:b/>
                <w:kern w:val="0"/>
                <w:szCs w:val="21"/>
              </w:rPr>
              <w:t>効　能</w:t>
            </w:r>
          </w:p>
          <w:p w:rsidR="007B5CF2" w:rsidRPr="00296EF4" w:rsidRDefault="007B5CF2" w:rsidP="007B5CF2">
            <w:pPr>
              <w:jc w:val="center"/>
              <w:rPr>
                <w:rFonts w:ascii="Arial" w:eastAsia="ＭＳ Ｐゴシック" w:hAnsi="Arial"/>
                <w:b/>
                <w:szCs w:val="21"/>
              </w:rPr>
            </w:pPr>
            <w:r>
              <w:rPr>
                <w:rFonts w:ascii="Arial" w:eastAsia="ＭＳ Ｐゴシック" w:hAnsi="Arial" w:hint="eastAsia"/>
                <w:b/>
                <w:kern w:val="0"/>
                <w:szCs w:val="21"/>
              </w:rPr>
              <w:t>効　果</w:t>
            </w:r>
          </w:p>
        </w:tc>
        <w:tc>
          <w:tcPr>
            <w:tcW w:w="9091" w:type="dxa"/>
            <w:gridSpan w:val="5"/>
            <w:tcBorders>
              <w:left w:val="single" w:sz="12" w:space="0" w:color="000000"/>
              <w:right w:val="single" w:sz="12" w:space="0" w:color="000000"/>
            </w:tcBorders>
          </w:tcPr>
          <w:p w:rsidR="007B5CF2" w:rsidRPr="009B467C" w:rsidRDefault="007B5CF2" w:rsidP="007B5CF2">
            <w:pPr>
              <w:rPr>
                <w:rFonts w:ascii="ＭＳ Ｐゴシック" w:eastAsia="ＭＳ Ｐゴシック" w:hAnsi="ＭＳ Ｐゴシック"/>
              </w:rPr>
            </w:pPr>
            <w:r w:rsidRPr="009B467C">
              <w:rPr>
                <w:rFonts w:ascii="ＭＳ Ｐゴシック" w:eastAsia="ＭＳ Ｐゴシック" w:hAnsi="ＭＳ Ｐゴシック" w:hint="eastAsia"/>
              </w:rPr>
              <w:t>糖尿病の食後過血糖の改善（ただし、食事療法・運動療法によっても十分な血糖コントロールが得られない場合、又は食事療法・運動療法に加えて経口血糖降下薬若しくはインスリン製剤を使用している患者で十分な血糖コントロールが得られない場合に限る）</w:t>
            </w:r>
          </w:p>
        </w:tc>
      </w:tr>
      <w:tr w:rsidR="007B5CF2" w:rsidRPr="00296EF4" w:rsidTr="007C777B">
        <w:trPr>
          <w:trHeight w:val="980"/>
        </w:trPr>
        <w:tc>
          <w:tcPr>
            <w:tcW w:w="1134" w:type="dxa"/>
            <w:tcBorders>
              <w:left w:val="single" w:sz="12" w:space="0" w:color="000000"/>
              <w:right w:val="single" w:sz="12" w:space="0" w:color="000000"/>
            </w:tcBorders>
            <w:vAlign w:val="center"/>
          </w:tcPr>
          <w:p w:rsidR="007B5CF2" w:rsidRDefault="007B5CF2" w:rsidP="007B5CF2">
            <w:pPr>
              <w:jc w:val="center"/>
              <w:rPr>
                <w:rFonts w:ascii="Arial" w:eastAsia="ＭＳ Ｐゴシック" w:hAnsi="Arial"/>
                <w:b/>
                <w:kern w:val="0"/>
                <w:szCs w:val="21"/>
              </w:rPr>
            </w:pPr>
            <w:r>
              <w:rPr>
                <w:rFonts w:ascii="Arial" w:eastAsia="ＭＳ Ｐゴシック" w:hAnsi="Arial" w:hint="eastAsia"/>
                <w:b/>
                <w:kern w:val="0"/>
                <w:szCs w:val="21"/>
              </w:rPr>
              <w:t>用　法</w:t>
            </w:r>
          </w:p>
          <w:p w:rsidR="007B5CF2" w:rsidRPr="00296EF4" w:rsidRDefault="007B5CF2" w:rsidP="007B5CF2">
            <w:pPr>
              <w:jc w:val="center"/>
              <w:rPr>
                <w:rFonts w:ascii="Arial" w:eastAsia="ＭＳ Ｐゴシック" w:hAnsi="Arial"/>
                <w:b/>
                <w:kern w:val="0"/>
                <w:szCs w:val="21"/>
              </w:rPr>
            </w:pPr>
            <w:r>
              <w:rPr>
                <w:rFonts w:ascii="Arial" w:eastAsia="ＭＳ Ｐゴシック" w:hAnsi="Arial" w:hint="eastAsia"/>
                <w:b/>
                <w:kern w:val="0"/>
                <w:szCs w:val="21"/>
              </w:rPr>
              <w:t>用　量</w:t>
            </w:r>
          </w:p>
        </w:tc>
        <w:tc>
          <w:tcPr>
            <w:tcW w:w="9091" w:type="dxa"/>
            <w:gridSpan w:val="5"/>
            <w:tcBorders>
              <w:left w:val="single" w:sz="12" w:space="0" w:color="000000"/>
              <w:right w:val="single" w:sz="12" w:space="0" w:color="000000"/>
            </w:tcBorders>
          </w:tcPr>
          <w:p w:rsidR="007B5CF2" w:rsidRPr="009B467C" w:rsidRDefault="007B5CF2" w:rsidP="007B5CF2">
            <w:pPr>
              <w:rPr>
                <w:rFonts w:ascii="ＭＳ Ｐゴシック" w:eastAsia="ＭＳ Ｐゴシック" w:hAnsi="ＭＳ Ｐゴシック"/>
              </w:rPr>
            </w:pPr>
            <w:r w:rsidRPr="009B467C">
              <w:rPr>
                <w:rFonts w:ascii="ＭＳ Ｐゴシック" w:eastAsia="ＭＳ Ｐゴシック" w:hAnsi="ＭＳ Ｐゴシック" w:hint="eastAsia"/>
              </w:rPr>
              <w:t>アカルボースとして、成人では通常１回100㎎ を１日３回、食直前に経口投与する。ただし、１回50㎎ より投与を開始し、忍容性を確認したうえ１回100㎎ へ増量することもできる。</w:t>
            </w:r>
            <w:r w:rsidR="009B467C" w:rsidRPr="009B467C">
              <w:rPr>
                <w:rFonts w:ascii="ＭＳ Ｐゴシック" w:eastAsia="ＭＳ Ｐゴシック" w:hAnsi="ＭＳ Ｐゴシック" w:hint="eastAsia"/>
              </w:rPr>
              <w:t>なお、年齢、症状に応じ適宜増減する。</w:t>
            </w:r>
          </w:p>
        </w:tc>
      </w:tr>
      <w:tr w:rsidR="007B5CF2" w:rsidRPr="00296EF4" w:rsidTr="00E460EA">
        <w:tblPrEx>
          <w:tblCellMar>
            <w:left w:w="99" w:type="dxa"/>
            <w:right w:w="99" w:type="dxa"/>
          </w:tblCellMar>
        </w:tblPrEx>
        <w:trPr>
          <w:trHeight w:val="980"/>
        </w:trPr>
        <w:tc>
          <w:tcPr>
            <w:tcW w:w="1134" w:type="dxa"/>
            <w:tcBorders>
              <w:left w:val="single" w:sz="12" w:space="0" w:color="000000"/>
              <w:bottom w:val="single" w:sz="6" w:space="0" w:color="000000"/>
              <w:right w:val="single" w:sz="12" w:space="0" w:color="000000"/>
            </w:tcBorders>
            <w:vAlign w:val="center"/>
          </w:tcPr>
          <w:p w:rsidR="007B5CF2" w:rsidRDefault="007B5CF2" w:rsidP="006D0AEE">
            <w:pPr>
              <w:jc w:val="center"/>
              <w:rPr>
                <w:rFonts w:ascii="Arial" w:eastAsia="ＭＳ Ｐゴシック" w:hAnsi="Arial"/>
                <w:b/>
                <w:kern w:val="0"/>
                <w:szCs w:val="21"/>
              </w:rPr>
            </w:pPr>
            <w:r w:rsidRPr="00296EF4">
              <w:rPr>
                <w:rFonts w:ascii="Arial" w:eastAsia="ＭＳ Ｐゴシック" w:hAnsi="Arial" w:hint="eastAsia"/>
                <w:b/>
                <w:szCs w:val="21"/>
              </w:rPr>
              <w:t>添加物</w:t>
            </w:r>
          </w:p>
        </w:tc>
        <w:tc>
          <w:tcPr>
            <w:tcW w:w="9091" w:type="dxa"/>
            <w:gridSpan w:val="5"/>
            <w:tcBorders>
              <w:left w:val="single" w:sz="12" w:space="0" w:color="000000"/>
              <w:bottom w:val="single" w:sz="6" w:space="0" w:color="000000"/>
              <w:right w:val="single" w:sz="12" w:space="0" w:color="000000"/>
            </w:tcBorders>
            <w:vAlign w:val="center"/>
          </w:tcPr>
          <w:p w:rsidR="007B5CF2" w:rsidRPr="00AB57E7" w:rsidRDefault="009B467C" w:rsidP="00D2066D">
            <w:pPr>
              <w:ind w:leftChars="-2" w:left="-4"/>
              <w:rPr>
                <w:rFonts w:ascii="Arial" w:eastAsia="ＭＳ Ｐゴシック" w:hAnsi="Arial"/>
                <w:color w:val="000000"/>
                <w:szCs w:val="21"/>
              </w:rPr>
            </w:pPr>
            <w:r w:rsidRPr="009B467C">
              <w:rPr>
                <w:rFonts w:ascii="Arial" w:eastAsia="ＭＳ Ｐゴシック" w:hAnsi="Arial" w:hint="eastAsia"/>
                <w:color w:val="000000"/>
                <w:szCs w:val="21"/>
              </w:rPr>
              <w:t>トウモロコシデンプン、結晶セルロース、軽質無水ケイ酸、ステアリン酸マグネシウム</w:t>
            </w:r>
          </w:p>
        </w:tc>
      </w:tr>
      <w:tr w:rsidR="00F024B2" w:rsidRPr="00296EF4" w:rsidTr="008E45CF">
        <w:trPr>
          <w:trHeight w:val="321"/>
        </w:trPr>
        <w:tc>
          <w:tcPr>
            <w:tcW w:w="1134" w:type="dxa"/>
            <w:vMerge w:val="restart"/>
            <w:tcBorders>
              <w:top w:val="single" w:sz="6" w:space="0" w:color="000000"/>
              <w:left w:val="single" w:sz="12" w:space="0" w:color="000000"/>
              <w:right w:val="single" w:sz="12" w:space="0" w:color="000000"/>
            </w:tcBorders>
            <w:vAlign w:val="center"/>
          </w:tcPr>
          <w:p w:rsidR="002A7EAA" w:rsidRPr="009F53A3" w:rsidRDefault="002A7EAA" w:rsidP="00866BF6">
            <w:pPr>
              <w:jc w:val="center"/>
              <w:rPr>
                <w:rFonts w:ascii="Arial" w:eastAsia="ＭＳ Ｐゴシック" w:hAnsi="Arial"/>
                <w:b/>
                <w:szCs w:val="21"/>
              </w:rPr>
            </w:pPr>
            <w:r w:rsidRPr="007B5CF2">
              <w:rPr>
                <w:rFonts w:ascii="Arial" w:eastAsia="ＭＳ Ｐゴシック" w:hAnsi="Arial" w:hint="eastAsia"/>
                <w:b/>
                <w:spacing w:val="79"/>
                <w:kern w:val="0"/>
                <w:szCs w:val="21"/>
                <w:fitText w:val="579" w:id="-85842943"/>
              </w:rPr>
              <w:t>性</w:t>
            </w:r>
            <w:r w:rsidRPr="007B5CF2">
              <w:rPr>
                <w:rFonts w:ascii="Arial" w:eastAsia="ＭＳ Ｐゴシック" w:hAnsi="Arial" w:hint="eastAsia"/>
                <w:b/>
                <w:kern w:val="0"/>
                <w:szCs w:val="21"/>
                <w:fitText w:val="579" w:id="-85842943"/>
              </w:rPr>
              <w:t>状</w:t>
            </w:r>
          </w:p>
        </w:tc>
        <w:tc>
          <w:tcPr>
            <w:tcW w:w="2713" w:type="dxa"/>
            <w:vMerge w:val="restart"/>
            <w:tcBorders>
              <w:top w:val="single" w:sz="6" w:space="0" w:color="000000"/>
              <w:left w:val="single" w:sz="12" w:space="0" w:color="000000"/>
            </w:tcBorders>
            <w:vAlign w:val="center"/>
          </w:tcPr>
          <w:p w:rsidR="00E460EA" w:rsidRDefault="00E460EA" w:rsidP="00E460EA">
            <w:pPr>
              <w:ind w:leftChars="16" w:left="53" w:hangingChars="9" w:hanging="19"/>
              <w:jc w:val="left"/>
              <w:rPr>
                <w:rFonts w:ascii="Arial" w:eastAsia="ＭＳ Ｐゴシック" w:hAnsi="Arial"/>
                <w:szCs w:val="21"/>
              </w:rPr>
            </w:pPr>
            <w:r w:rsidRPr="00E460EA">
              <w:rPr>
                <w:rFonts w:ascii="Arial" w:eastAsia="ＭＳ Ｐゴシック" w:hAnsi="Arial" w:hint="eastAsia"/>
                <w:szCs w:val="21"/>
              </w:rPr>
              <w:t>割線を有する白色～淡黄色の円形の錠剤である。</w:t>
            </w:r>
          </w:p>
          <w:p w:rsidR="006A5858" w:rsidRPr="002D5141" w:rsidRDefault="006A5858" w:rsidP="00E460EA">
            <w:pPr>
              <w:ind w:leftChars="16" w:left="53" w:hangingChars="9" w:hanging="19"/>
              <w:jc w:val="left"/>
              <w:rPr>
                <w:rFonts w:ascii="Arial" w:eastAsia="ＭＳ Ｐゴシック" w:hAnsi="Arial"/>
                <w:szCs w:val="21"/>
              </w:rPr>
            </w:pPr>
            <w:r>
              <w:rPr>
                <w:rFonts w:ascii="Arial" w:eastAsia="ＭＳ Ｐゴシック" w:hAnsi="Arial" w:hint="eastAsia"/>
                <w:szCs w:val="21"/>
              </w:rPr>
              <w:t>識別コード：</w:t>
            </w:r>
            <w:r>
              <w:rPr>
                <w:rFonts w:ascii="Arial" w:eastAsia="ＭＳ Ｐゴシック" w:hAnsi="Arial" w:hint="eastAsia"/>
                <w:szCs w:val="21"/>
              </w:rPr>
              <w:t>BMD</w:t>
            </w:r>
            <w:r w:rsidR="00E460EA">
              <w:rPr>
                <w:rFonts w:ascii="Arial" w:eastAsia="ＭＳ Ｐゴシック" w:hAnsi="Arial" w:hint="eastAsia"/>
                <w:szCs w:val="21"/>
              </w:rPr>
              <w:t>9</w:t>
            </w:r>
          </w:p>
        </w:tc>
        <w:tc>
          <w:tcPr>
            <w:tcW w:w="2126" w:type="dxa"/>
            <w:gridSpan w:val="2"/>
            <w:tcBorders>
              <w:top w:val="single" w:sz="6" w:space="0" w:color="000000"/>
              <w:bottom w:val="dotted" w:sz="4" w:space="0" w:color="auto"/>
            </w:tcBorders>
            <w:vAlign w:val="center"/>
          </w:tcPr>
          <w:p w:rsidR="002A7EAA" w:rsidRPr="00CC1833" w:rsidRDefault="002A7EAA" w:rsidP="00866BF6">
            <w:pPr>
              <w:jc w:val="center"/>
              <w:rPr>
                <w:rFonts w:ascii="Arial" w:eastAsia="ＭＳ Ｐゴシック" w:hAnsi="Arial" w:cs="ＭＳ Ｐゴシック"/>
                <w:color w:val="000000"/>
                <w:kern w:val="0"/>
                <w:szCs w:val="21"/>
              </w:rPr>
            </w:pPr>
            <w:r w:rsidRPr="00CC1833">
              <w:rPr>
                <w:rFonts w:ascii="Arial" w:eastAsia="ＭＳ Ｐゴシック" w:hAnsi="Arial" w:cs="ＭＳ Ｐゴシック" w:hint="eastAsia"/>
                <w:color w:val="000000"/>
                <w:kern w:val="0"/>
                <w:szCs w:val="21"/>
              </w:rPr>
              <w:t>直径（</w:t>
            </w:r>
            <w:r w:rsidRPr="00CC1833">
              <w:rPr>
                <w:rFonts w:ascii="Arial" w:eastAsia="ＭＳ Ｐゴシック" w:hAnsi="Arial" w:cs="ＭＳ Ｐゴシック" w:hint="eastAsia"/>
                <w:color w:val="000000"/>
                <w:kern w:val="0"/>
                <w:szCs w:val="21"/>
              </w:rPr>
              <w:t>mm</w:t>
            </w:r>
            <w:r w:rsidRPr="00CC1833">
              <w:rPr>
                <w:rFonts w:ascii="Arial" w:eastAsia="ＭＳ Ｐゴシック" w:hAnsi="Arial" w:cs="ＭＳ Ｐゴシック" w:hint="eastAsia"/>
                <w:color w:val="000000"/>
                <w:kern w:val="0"/>
                <w:szCs w:val="21"/>
              </w:rPr>
              <w:t>）</w:t>
            </w:r>
          </w:p>
        </w:tc>
        <w:tc>
          <w:tcPr>
            <w:tcW w:w="2126" w:type="dxa"/>
            <w:tcBorders>
              <w:top w:val="single" w:sz="6" w:space="0" w:color="000000"/>
              <w:bottom w:val="dotted" w:sz="4" w:space="0" w:color="auto"/>
            </w:tcBorders>
            <w:vAlign w:val="center"/>
          </w:tcPr>
          <w:p w:rsidR="002A7EAA" w:rsidRPr="00CC1833" w:rsidRDefault="002A7EAA" w:rsidP="00866BF6">
            <w:pPr>
              <w:jc w:val="center"/>
              <w:rPr>
                <w:rFonts w:ascii="Arial" w:eastAsia="ＭＳ Ｐゴシック" w:hAnsi="Arial" w:cs="ＭＳ Ｐゴシック"/>
                <w:color w:val="000000"/>
                <w:kern w:val="0"/>
                <w:szCs w:val="21"/>
              </w:rPr>
            </w:pPr>
            <w:r w:rsidRPr="00CC1833">
              <w:rPr>
                <w:rFonts w:ascii="Arial" w:eastAsia="ＭＳ Ｐゴシック" w:hAnsi="Arial" w:cs="ＭＳ Ｐゴシック" w:hint="eastAsia"/>
                <w:color w:val="000000"/>
                <w:kern w:val="0"/>
                <w:szCs w:val="21"/>
              </w:rPr>
              <w:t>厚さ</w:t>
            </w:r>
            <w:r w:rsidRPr="00CC1833">
              <w:rPr>
                <w:rFonts w:ascii="Arial" w:eastAsia="ＭＳ Ｐゴシック" w:hAnsi="Arial" w:cs="ＭＳ Ｐゴシック" w:hint="eastAsia"/>
                <w:color w:val="000000"/>
                <w:kern w:val="0"/>
                <w:szCs w:val="21"/>
              </w:rPr>
              <w:t>(mm)</w:t>
            </w:r>
          </w:p>
        </w:tc>
        <w:tc>
          <w:tcPr>
            <w:tcW w:w="2126" w:type="dxa"/>
            <w:tcBorders>
              <w:top w:val="single" w:sz="6" w:space="0" w:color="000000"/>
              <w:bottom w:val="dotted" w:sz="4" w:space="0" w:color="auto"/>
              <w:right w:val="single" w:sz="12" w:space="0" w:color="000000"/>
            </w:tcBorders>
            <w:vAlign w:val="center"/>
          </w:tcPr>
          <w:p w:rsidR="002A7EAA" w:rsidRPr="00CC1833" w:rsidRDefault="002A7EAA" w:rsidP="00866BF6">
            <w:pPr>
              <w:jc w:val="center"/>
              <w:rPr>
                <w:rFonts w:ascii="Arial" w:eastAsia="ＭＳ Ｐゴシック" w:hAnsi="Arial" w:cs="ＭＳ Ｐゴシック"/>
                <w:color w:val="000000"/>
                <w:kern w:val="0"/>
                <w:szCs w:val="21"/>
              </w:rPr>
            </w:pPr>
            <w:r w:rsidRPr="00CC1833">
              <w:rPr>
                <w:rFonts w:ascii="Arial" w:eastAsia="ＭＳ Ｐゴシック" w:hAnsi="Arial" w:cs="ＭＳ Ｐゴシック" w:hint="eastAsia"/>
                <w:color w:val="000000"/>
                <w:kern w:val="0"/>
                <w:szCs w:val="21"/>
              </w:rPr>
              <w:t>重量（</w:t>
            </w:r>
            <w:r w:rsidRPr="00CC1833">
              <w:rPr>
                <w:rFonts w:ascii="Arial" w:eastAsia="ＭＳ Ｐゴシック" w:hAnsi="Arial" w:cs="ＭＳ Ｐゴシック" w:hint="eastAsia"/>
                <w:color w:val="000000"/>
                <w:kern w:val="0"/>
                <w:szCs w:val="21"/>
              </w:rPr>
              <w:t>mg</w:t>
            </w:r>
            <w:r w:rsidRPr="00CC1833">
              <w:rPr>
                <w:rFonts w:ascii="Arial" w:eastAsia="ＭＳ Ｐゴシック" w:hAnsi="Arial" w:cs="ＭＳ Ｐゴシック" w:hint="eastAsia"/>
                <w:color w:val="000000"/>
                <w:kern w:val="0"/>
                <w:szCs w:val="21"/>
              </w:rPr>
              <w:t>）</w:t>
            </w:r>
          </w:p>
        </w:tc>
      </w:tr>
      <w:tr w:rsidR="00F024B2" w:rsidRPr="00296EF4" w:rsidTr="008E45CF">
        <w:trPr>
          <w:trHeight w:val="243"/>
        </w:trPr>
        <w:tc>
          <w:tcPr>
            <w:tcW w:w="1134" w:type="dxa"/>
            <w:vMerge/>
            <w:tcBorders>
              <w:left w:val="single" w:sz="12" w:space="0" w:color="000000"/>
              <w:right w:val="single" w:sz="12" w:space="0" w:color="000000"/>
            </w:tcBorders>
          </w:tcPr>
          <w:p w:rsidR="002A7EAA" w:rsidRPr="00296EF4" w:rsidRDefault="002A7EAA" w:rsidP="00866BF6">
            <w:pPr>
              <w:rPr>
                <w:rFonts w:ascii="Arial" w:eastAsia="ＭＳ Ｐゴシック" w:hAnsi="Arial"/>
                <w:b/>
                <w:kern w:val="0"/>
                <w:szCs w:val="21"/>
              </w:rPr>
            </w:pPr>
          </w:p>
        </w:tc>
        <w:tc>
          <w:tcPr>
            <w:tcW w:w="2713" w:type="dxa"/>
            <w:vMerge/>
            <w:tcBorders>
              <w:left w:val="single" w:sz="12" w:space="0" w:color="000000"/>
            </w:tcBorders>
          </w:tcPr>
          <w:p w:rsidR="002A7EAA" w:rsidRDefault="002A7EAA" w:rsidP="002A7EAA">
            <w:pPr>
              <w:ind w:leftChars="16" w:left="1023" w:hangingChars="459" w:hanging="989"/>
              <w:rPr>
                <w:rFonts w:ascii="Arial" w:eastAsia="ＭＳ Ｐゴシック" w:hAnsi="Arial"/>
                <w:szCs w:val="21"/>
              </w:rPr>
            </w:pPr>
          </w:p>
        </w:tc>
        <w:tc>
          <w:tcPr>
            <w:tcW w:w="2126" w:type="dxa"/>
            <w:gridSpan w:val="2"/>
            <w:tcBorders>
              <w:top w:val="dotted" w:sz="4" w:space="0" w:color="auto"/>
            </w:tcBorders>
            <w:vAlign w:val="center"/>
          </w:tcPr>
          <w:p w:rsidR="002A7EAA" w:rsidRPr="006A5858" w:rsidRDefault="006A5858" w:rsidP="00866BF6">
            <w:pPr>
              <w:jc w:val="center"/>
              <w:rPr>
                <w:rFonts w:asciiTheme="minorHAnsi" w:eastAsia="ＭＳ Ｐゴシック" w:hAnsiTheme="minorHAnsi" w:cs="ＭＳ Ｐゴシック"/>
                <w:color w:val="000000"/>
                <w:kern w:val="0"/>
                <w:szCs w:val="21"/>
              </w:rPr>
            </w:pPr>
            <w:r>
              <w:rPr>
                <w:rFonts w:asciiTheme="minorHAnsi" w:eastAsia="ＭＳ Ｐゴシック" w:hAnsiTheme="minorHAnsi" w:cs="ＭＳ Ｐゴシック" w:hint="eastAsia"/>
                <w:color w:val="000000"/>
                <w:kern w:val="0"/>
                <w:szCs w:val="21"/>
              </w:rPr>
              <w:t>約</w:t>
            </w:r>
            <w:r w:rsidR="00072B68">
              <w:rPr>
                <w:rFonts w:asciiTheme="minorHAnsi" w:eastAsia="ＭＳ Ｐゴシック" w:hAnsiTheme="minorHAnsi" w:cs="ＭＳ Ｐゴシック" w:hint="eastAsia"/>
                <w:color w:val="000000"/>
                <w:kern w:val="0"/>
                <w:szCs w:val="21"/>
              </w:rPr>
              <w:t>8</w:t>
            </w:r>
          </w:p>
        </w:tc>
        <w:tc>
          <w:tcPr>
            <w:tcW w:w="2126" w:type="dxa"/>
            <w:tcBorders>
              <w:top w:val="dotted" w:sz="4" w:space="0" w:color="auto"/>
            </w:tcBorders>
            <w:vAlign w:val="center"/>
          </w:tcPr>
          <w:p w:rsidR="002A7EAA" w:rsidRPr="006A5858" w:rsidRDefault="006A5858" w:rsidP="00866BF6">
            <w:pPr>
              <w:jc w:val="center"/>
              <w:rPr>
                <w:rFonts w:asciiTheme="minorHAnsi" w:eastAsia="ＭＳ Ｐゴシック" w:hAnsiTheme="minorHAnsi" w:cs="ＭＳ Ｐゴシック"/>
                <w:color w:val="000000"/>
                <w:kern w:val="0"/>
                <w:szCs w:val="21"/>
              </w:rPr>
            </w:pPr>
            <w:r>
              <w:rPr>
                <w:rFonts w:asciiTheme="minorHAnsi" w:eastAsia="ＭＳ Ｐゴシック" w:hAnsiTheme="minorHAnsi" w:cs="ＭＳ Ｐゴシック" w:hint="eastAsia"/>
                <w:color w:val="000000"/>
                <w:kern w:val="0"/>
                <w:szCs w:val="21"/>
              </w:rPr>
              <w:t>約</w:t>
            </w:r>
            <w:r w:rsidR="00072B68">
              <w:rPr>
                <w:rFonts w:asciiTheme="minorHAnsi" w:eastAsia="ＭＳ Ｐゴシック" w:hAnsiTheme="minorHAnsi" w:cs="ＭＳ Ｐゴシック" w:hint="eastAsia"/>
                <w:color w:val="000000"/>
                <w:kern w:val="0"/>
                <w:szCs w:val="21"/>
              </w:rPr>
              <w:t>3.1</w:t>
            </w:r>
          </w:p>
        </w:tc>
        <w:tc>
          <w:tcPr>
            <w:tcW w:w="2126" w:type="dxa"/>
            <w:tcBorders>
              <w:top w:val="dotted" w:sz="4" w:space="0" w:color="auto"/>
              <w:right w:val="single" w:sz="12" w:space="0" w:color="000000"/>
            </w:tcBorders>
            <w:vAlign w:val="center"/>
          </w:tcPr>
          <w:p w:rsidR="002A7EAA" w:rsidRPr="006A5858" w:rsidRDefault="00072B68" w:rsidP="00866BF6">
            <w:pPr>
              <w:jc w:val="center"/>
              <w:rPr>
                <w:rFonts w:asciiTheme="minorHAnsi" w:eastAsia="ＭＳ Ｐゴシック" w:hAnsiTheme="minorHAnsi" w:cs="ＭＳ Ｐゴシック"/>
                <w:color w:val="000000"/>
                <w:kern w:val="0"/>
                <w:szCs w:val="21"/>
              </w:rPr>
            </w:pPr>
            <w:r>
              <w:rPr>
                <w:rFonts w:asciiTheme="minorHAnsi" w:eastAsia="ＭＳ Ｐゴシック" w:hAnsiTheme="minorHAnsi" w:cs="ＭＳ Ｐゴシック" w:hint="eastAsia"/>
                <w:color w:val="000000"/>
                <w:kern w:val="0"/>
                <w:szCs w:val="21"/>
              </w:rPr>
              <w:t>200</w:t>
            </w:r>
          </w:p>
        </w:tc>
      </w:tr>
      <w:tr w:rsidR="00F024B2" w:rsidRPr="00296EF4" w:rsidTr="008E45CF">
        <w:trPr>
          <w:trHeight w:val="1249"/>
        </w:trPr>
        <w:tc>
          <w:tcPr>
            <w:tcW w:w="1134" w:type="dxa"/>
            <w:vMerge/>
            <w:tcBorders>
              <w:left w:val="single" w:sz="12" w:space="0" w:color="000000"/>
              <w:right w:val="single" w:sz="12" w:space="0" w:color="000000"/>
            </w:tcBorders>
          </w:tcPr>
          <w:p w:rsidR="002A7EAA" w:rsidRPr="00296EF4" w:rsidRDefault="002A7EAA" w:rsidP="00866BF6">
            <w:pPr>
              <w:rPr>
                <w:rFonts w:ascii="Arial" w:eastAsia="ＭＳ Ｐゴシック" w:hAnsi="Arial"/>
                <w:b/>
                <w:kern w:val="0"/>
                <w:szCs w:val="21"/>
              </w:rPr>
            </w:pPr>
          </w:p>
        </w:tc>
        <w:tc>
          <w:tcPr>
            <w:tcW w:w="2713" w:type="dxa"/>
            <w:vMerge/>
            <w:tcBorders>
              <w:left w:val="single" w:sz="12" w:space="0" w:color="000000"/>
            </w:tcBorders>
          </w:tcPr>
          <w:p w:rsidR="002A7EAA" w:rsidRDefault="002A7EAA" w:rsidP="002A7EAA">
            <w:pPr>
              <w:ind w:leftChars="16" w:left="1023" w:hangingChars="459" w:hanging="989"/>
              <w:rPr>
                <w:rFonts w:ascii="Arial" w:eastAsia="ＭＳ Ｐゴシック" w:hAnsi="Arial"/>
                <w:szCs w:val="21"/>
              </w:rPr>
            </w:pPr>
          </w:p>
        </w:tc>
        <w:tc>
          <w:tcPr>
            <w:tcW w:w="2126" w:type="dxa"/>
            <w:gridSpan w:val="2"/>
            <w:shd w:val="clear" w:color="auto" w:fill="auto"/>
          </w:tcPr>
          <w:p w:rsidR="006A5858" w:rsidRDefault="002A7EAA" w:rsidP="00387D7D">
            <w:pPr>
              <w:rPr>
                <w:rFonts w:ascii="Arial" w:eastAsia="ＭＳ Ｐゴシック" w:hAnsi="Arial" w:cs="ＭＳ Ｐゴシック"/>
                <w:color w:val="000000"/>
                <w:kern w:val="0"/>
                <w:szCs w:val="21"/>
              </w:rPr>
            </w:pPr>
            <w:r w:rsidRPr="00CC1833">
              <w:rPr>
                <w:rFonts w:ascii="Arial" w:eastAsia="ＭＳ Ｐゴシック" w:hAnsi="Arial" w:cs="ＭＳ Ｐゴシック" w:hint="eastAsia"/>
                <w:color w:val="000000"/>
                <w:kern w:val="0"/>
                <w:szCs w:val="21"/>
              </w:rPr>
              <w:t>表</w:t>
            </w:r>
          </w:p>
          <w:p w:rsidR="001C3B22" w:rsidRPr="00CC1833" w:rsidRDefault="00E460EA" w:rsidP="006A5858">
            <w:pPr>
              <w:jc w:val="center"/>
              <w:rPr>
                <w:rFonts w:ascii="Arial" w:eastAsia="ＭＳ Ｐゴシック" w:hAnsi="Arial" w:cs="ＭＳ Ｐゴシック"/>
                <w:color w:val="000000"/>
                <w:kern w:val="0"/>
                <w:szCs w:val="21"/>
              </w:rPr>
            </w:pPr>
            <w:r>
              <w:rPr>
                <w:noProof/>
              </w:rPr>
              <w:drawing>
                <wp:inline distT="0" distB="0" distL="0" distR="0" wp14:anchorId="46BA7F8D" wp14:editId="7BBC252D">
                  <wp:extent cx="533400" cy="523875"/>
                  <wp:effectExtent l="0" t="0" r="0" b="9525"/>
                  <wp:docPr id="2194" name="Picture 32" descr="BMD9錠剤">
                    <a:extLst xmlns:a="http://schemas.openxmlformats.org/drawingml/2006/main">
                      <a:ext uri="{FF2B5EF4-FFF2-40B4-BE49-F238E27FC236}">
                        <a16:creationId xmlns:a16="http://schemas.microsoft.com/office/drawing/2014/main" id="{0CC1AB9B-8B90-4C50-B32D-E06372FA3B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4" name="Picture 32" descr="BMD9錠剤">
                            <a:extLst>
                              <a:ext uri="{FF2B5EF4-FFF2-40B4-BE49-F238E27FC236}">
                                <a16:creationId xmlns:a16="http://schemas.microsoft.com/office/drawing/2014/main" id="{0CC1AB9B-8B90-4C50-B32D-E06372FA3B18}"/>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126" w:type="dxa"/>
            <w:shd w:val="clear" w:color="auto" w:fill="auto"/>
          </w:tcPr>
          <w:p w:rsidR="002A7EAA" w:rsidRDefault="00CC1833" w:rsidP="00CC1833">
            <w:pPr>
              <w:rPr>
                <w:rFonts w:ascii="Arial" w:eastAsia="ＭＳ Ｐゴシック" w:hAnsi="Arial" w:cs="ＭＳ Ｐゴシック"/>
                <w:color w:val="000000"/>
                <w:kern w:val="0"/>
                <w:szCs w:val="21"/>
              </w:rPr>
            </w:pPr>
            <w:r>
              <w:rPr>
                <w:rFonts w:ascii="Arial" w:eastAsia="ＭＳ Ｐゴシック" w:hAnsi="Arial" w:cs="ＭＳ Ｐゴシック" w:hint="eastAsia"/>
                <w:color w:val="000000"/>
                <w:kern w:val="0"/>
                <w:szCs w:val="21"/>
              </w:rPr>
              <w:t>裏</w:t>
            </w:r>
          </w:p>
          <w:p w:rsidR="001C3B22" w:rsidRPr="00CC1833" w:rsidRDefault="00E460EA" w:rsidP="006A5858">
            <w:pPr>
              <w:jc w:val="center"/>
              <w:rPr>
                <w:rFonts w:ascii="Arial" w:eastAsia="ＭＳ Ｐゴシック" w:hAnsi="Arial" w:cs="ＭＳ Ｐゴシック"/>
                <w:color w:val="000000"/>
                <w:kern w:val="0"/>
                <w:szCs w:val="21"/>
              </w:rPr>
            </w:pPr>
            <w:r>
              <w:rPr>
                <w:noProof/>
              </w:rPr>
              <w:drawing>
                <wp:inline distT="0" distB="0" distL="0" distR="0" wp14:anchorId="5BFC2976" wp14:editId="73CF8AD8">
                  <wp:extent cx="476250" cy="476250"/>
                  <wp:effectExtent l="0" t="0" r="0" b="0"/>
                  <wp:docPr id="2192" name="Picture 27" descr="アカルボース50mg 裏">
                    <a:extLst xmlns:a="http://schemas.openxmlformats.org/drawingml/2006/main">
                      <a:ext uri="{FF2B5EF4-FFF2-40B4-BE49-F238E27FC236}">
                        <a16:creationId xmlns:a16="http://schemas.microsoft.com/office/drawing/2014/main" id="{3446521D-4C12-4685-AF23-A51199A74C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2" name="Picture 27" descr="アカルボース50mg 裏">
                            <a:extLst>
                              <a:ext uri="{FF2B5EF4-FFF2-40B4-BE49-F238E27FC236}">
                                <a16:creationId xmlns:a16="http://schemas.microsoft.com/office/drawing/2014/main" id="{3446521D-4C12-4685-AF23-A51199A74CF9}"/>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126" w:type="dxa"/>
            <w:tcBorders>
              <w:right w:val="single" w:sz="12" w:space="0" w:color="000000"/>
            </w:tcBorders>
            <w:shd w:val="clear" w:color="auto" w:fill="auto"/>
          </w:tcPr>
          <w:p w:rsidR="006A5858" w:rsidRDefault="002A7EAA" w:rsidP="00866BF6">
            <w:pPr>
              <w:jc w:val="left"/>
              <w:rPr>
                <w:rFonts w:ascii="Arial" w:eastAsia="ＭＳ Ｐゴシック" w:hAnsi="Arial" w:cs="ＭＳ Ｐゴシック"/>
                <w:color w:val="000000"/>
                <w:kern w:val="0"/>
                <w:szCs w:val="21"/>
              </w:rPr>
            </w:pPr>
            <w:r w:rsidRPr="00CC1833">
              <w:rPr>
                <w:rFonts w:ascii="Arial" w:eastAsia="ＭＳ Ｐゴシック" w:hAnsi="Arial" w:cs="ＭＳ Ｐゴシック" w:hint="eastAsia"/>
                <w:color w:val="000000"/>
                <w:kern w:val="0"/>
                <w:szCs w:val="21"/>
              </w:rPr>
              <w:t>側面</w:t>
            </w:r>
          </w:p>
          <w:p w:rsidR="002A7EAA" w:rsidRPr="00CC1833" w:rsidRDefault="00E460EA" w:rsidP="001C3B22">
            <w:pPr>
              <w:jc w:val="center"/>
              <w:rPr>
                <w:rFonts w:ascii="Arial" w:eastAsia="ＭＳ Ｐゴシック" w:hAnsi="Arial" w:cs="ＭＳ Ｐゴシック"/>
                <w:color w:val="000000"/>
                <w:kern w:val="0"/>
                <w:szCs w:val="21"/>
              </w:rPr>
            </w:pPr>
            <w:r>
              <w:rPr>
                <w:noProof/>
              </w:rPr>
              <w:drawing>
                <wp:anchor distT="0" distB="0" distL="114300" distR="114300" simplePos="0" relativeHeight="251661312" behindDoc="0" locked="0" layoutInCell="1" allowOverlap="1" wp14:anchorId="163E11AC">
                  <wp:simplePos x="0" y="0"/>
                  <wp:positionH relativeFrom="column">
                    <wp:posOffset>439230</wp:posOffset>
                  </wp:positionH>
                  <wp:positionV relativeFrom="paragraph">
                    <wp:posOffset>158115</wp:posOffset>
                  </wp:positionV>
                  <wp:extent cx="400050" cy="209550"/>
                  <wp:effectExtent l="0" t="0" r="0" b="0"/>
                  <wp:wrapNone/>
                  <wp:docPr id="2193" name="Picture 28" descr="アカルボース錠100mg 横">
                    <a:extLst xmlns:a="http://schemas.openxmlformats.org/drawingml/2006/main">
                      <a:ext uri="{FF2B5EF4-FFF2-40B4-BE49-F238E27FC236}">
                        <a16:creationId xmlns:a16="http://schemas.microsoft.com/office/drawing/2014/main" id="{0054FACE-E65E-4F63-A814-6F3DF6FE09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3" name="Picture 28" descr="アカルボース錠100mg 横">
                            <a:extLst>
                              <a:ext uri="{FF2B5EF4-FFF2-40B4-BE49-F238E27FC236}">
                                <a16:creationId xmlns:a16="http://schemas.microsoft.com/office/drawing/2014/main" id="{0054FACE-E65E-4F63-A814-6F3DF6FE09C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r>
      <w:tr w:rsidR="007C777B" w:rsidRPr="00296EF4" w:rsidTr="00E460EA">
        <w:tblPrEx>
          <w:tblCellMar>
            <w:left w:w="99" w:type="dxa"/>
            <w:right w:w="99" w:type="dxa"/>
          </w:tblCellMar>
        </w:tblPrEx>
        <w:trPr>
          <w:trHeight w:val="3758"/>
        </w:trPr>
        <w:tc>
          <w:tcPr>
            <w:tcW w:w="1134" w:type="dxa"/>
            <w:vMerge w:val="restart"/>
            <w:tcBorders>
              <w:left w:val="single" w:sz="12" w:space="0" w:color="000000"/>
              <w:right w:val="single" w:sz="12" w:space="0" w:color="000000"/>
            </w:tcBorders>
            <w:vAlign w:val="center"/>
          </w:tcPr>
          <w:p w:rsidR="007C777B" w:rsidRPr="00296EF4" w:rsidRDefault="007C777B" w:rsidP="00866BF6">
            <w:pPr>
              <w:jc w:val="center"/>
              <w:rPr>
                <w:rFonts w:ascii="Arial" w:eastAsia="ＭＳ Ｐゴシック" w:hAnsi="Arial"/>
                <w:b/>
                <w:szCs w:val="21"/>
              </w:rPr>
            </w:pPr>
            <w:r>
              <w:rPr>
                <w:rFonts w:ascii="Arial" w:eastAsia="ＭＳ Ｐゴシック" w:hAnsi="Arial" w:hint="eastAsia"/>
                <w:b/>
                <w:szCs w:val="21"/>
              </w:rPr>
              <w:t>標準製剤</w:t>
            </w:r>
          </w:p>
          <w:p w:rsidR="007C777B" w:rsidRDefault="007C777B" w:rsidP="00866BF6">
            <w:pPr>
              <w:jc w:val="center"/>
              <w:rPr>
                <w:rFonts w:ascii="Arial" w:eastAsia="ＭＳ Ｐゴシック" w:hAnsi="Arial"/>
                <w:b/>
                <w:szCs w:val="21"/>
              </w:rPr>
            </w:pPr>
            <w:r w:rsidRPr="00296EF4">
              <w:rPr>
                <w:rFonts w:ascii="Arial" w:eastAsia="ＭＳ Ｐゴシック" w:hAnsi="Arial" w:hint="eastAsia"/>
                <w:b/>
                <w:szCs w:val="21"/>
              </w:rPr>
              <w:t>との</w:t>
            </w:r>
          </w:p>
          <w:p w:rsidR="007C777B" w:rsidRPr="00296EF4" w:rsidRDefault="007C777B" w:rsidP="00AD7F87">
            <w:pPr>
              <w:jc w:val="center"/>
              <w:rPr>
                <w:rFonts w:ascii="Arial" w:eastAsia="ＭＳ Ｐゴシック" w:hAnsi="Arial"/>
              </w:rPr>
            </w:pPr>
            <w:r w:rsidRPr="00296EF4">
              <w:rPr>
                <w:rFonts w:ascii="Arial" w:eastAsia="ＭＳ Ｐゴシック" w:hAnsi="Arial" w:hint="eastAsia"/>
                <w:b/>
                <w:szCs w:val="21"/>
              </w:rPr>
              <w:t>同等性</w:t>
            </w:r>
          </w:p>
        </w:tc>
        <w:tc>
          <w:tcPr>
            <w:tcW w:w="4545" w:type="dxa"/>
            <w:gridSpan w:val="2"/>
            <w:tcBorders>
              <w:left w:val="single" w:sz="12" w:space="0" w:color="000000"/>
              <w:bottom w:val="nil"/>
              <w:right w:val="single" w:sz="12" w:space="0" w:color="000000"/>
            </w:tcBorders>
            <w:shd w:val="clear" w:color="auto" w:fill="auto"/>
          </w:tcPr>
          <w:p w:rsidR="007C777B" w:rsidRDefault="00E460EA" w:rsidP="002E2531">
            <w:pPr>
              <w:ind w:leftChars="-3" w:left="-6"/>
              <w:jc w:val="center"/>
              <w:rPr>
                <w:rFonts w:ascii="Arial" w:eastAsia="ＭＳ Ｐゴシック" w:hAnsi="ＭＳ ゴシック"/>
                <w:sz w:val="20"/>
                <w:szCs w:val="20"/>
              </w:rPr>
            </w:pPr>
            <w:r>
              <w:rPr>
                <w:noProof/>
              </w:rPr>
              <w:drawing>
                <wp:anchor distT="0" distB="0" distL="114300" distR="114300" simplePos="0" relativeHeight="251662336" behindDoc="0" locked="0" layoutInCell="1" allowOverlap="1" wp14:anchorId="2F6F0576">
                  <wp:simplePos x="0" y="0"/>
                  <wp:positionH relativeFrom="column">
                    <wp:posOffset>106680</wp:posOffset>
                  </wp:positionH>
                  <wp:positionV relativeFrom="paragraph">
                    <wp:posOffset>420948</wp:posOffset>
                  </wp:positionV>
                  <wp:extent cx="2495550" cy="1828800"/>
                  <wp:effectExtent l="0" t="0" r="0" b="0"/>
                  <wp:wrapNone/>
                  <wp:docPr id="1" name="グラフ 1">
                    <a:extLst xmlns:a="http://schemas.openxmlformats.org/drawingml/2006/main">
                      <a:ext uri="{FF2B5EF4-FFF2-40B4-BE49-F238E27FC236}">
                        <a16:creationId xmlns:a16="http://schemas.microsoft.com/office/drawing/2014/main" id="{304072CE-119A-4603-89F2-DCFA92F806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C777B">
              <w:rPr>
                <w:rFonts w:ascii="Arial" w:eastAsia="ＭＳ Ｐゴシック" w:hAnsi="ＭＳ ゴシック" w:hint="eastAsia"/>
                <w:sz w:val="20"/>
                <w:szCs w:val="20"/>
              </w:rPr>
              <w:t>【</w:t>
            </w:r>
            <w:r w:rsidR="007C777B" w:rsidRPr="007C777B">
              <w:rPr>
                <w:rFonts w:ascii="Arial" w:eastAsia="ＭＳ Ｐゴシック" w:hAnsi="ＭＳ ゴシック" w:hint="eastAsia"/>
                <w:sz w:val="20"/>
                <w:szCs w:val="20"/>
              </w:rPr>
              <w:t>溶出試験（試験液：水）】</w:t>
            </w:r>
          </w:p>
        </w:tc>
        <w:tc>
          <w:tcPr>
            <w:tcW w:w="4546" w:type="dxa"/>
            <w:gridSpan w:val="3"/>
            <w:tcBorders>
              <w:left w:val="single" w:sz="12" w:space="0" w:color="000000"/>
              <w:bottom w:val="nil"/>
              <w:right w:val="single" w:sz="12" w:space="0" w:color="000000"/>
            </w:tcBorders>
            <w:shd w:val="clear" w:color="auto" w:fill="auto"/>
          </w:tcPr>
          <w:p w:rsidR="007C777B" w:rsidRDefault="007C777B" w:rsidP="00387D7D">
            <w:pPr>
              <w:ind w:leftChars="-3" w:left="-6"/>
              <w:jc w:val="center"/>
              <w:rPr>
                <w:rFonts w:ascii="Arial" w:eastAsia="ＭＳ Ｐゴシック" w:hAnsi="ＭＳ ゴシック"/>
                <w:sz w:val="20"/>
                <w:szCs w:val="20"/>
              </w:rPr>
            </w:pPr>
            <w:r w:rsidRPr="007C777B">
              <w:rPr>
                <w:rFonts w:ascii="Arial" w:eastAsia="ＭＳ Ｐゴシック" w:hAnsi="ＭＳ ゴシック" w:hint="eastAsia"/>
                <w:sz w:val="20"/>
                <w:szCs w:val="20"/>
              </w:rPr>
              <w:t>【血糖値比較試験（人、空腹時）】</w:t>
            </w:r>
          </w:p>
          <w:p w:rsidR="00E460EA" w:rsidRPr="002D5141" w:rsidRDefault="00E460EA" w:rsidP="00387D7D">
            <w:pPr>
              <w:ind w:leftChars="-3" w:left="-6"/>
              <w:jc w:val="center"/>
              <w:rPr>
                <w:rFonts w:ascii="Arial" w:eastAsia="ＭＳ Ｐゴシック" w:hAnsi="ＭＳ ゴシック"/>
                <w:sz w:val="20"/>
                <w:szCs w:val="20"/>
              </w:rPr>
            </w:pPr>
            <w:r>
              <w:rPr>
                <w:noProof/>
              </w:rPr>
              <w:drawing>
                <wp:anchor distT="0" distB="0" distL="114300" distR="114300" simplePos="0" relativeHeight="251663360" behindDoc="0" locked="0" layoutInCell="1" allowOverlap="1" wp14:anchorId="3EBADC66">
                  <wp:simplePos x="0" y="0"/>
                  <wp:positionH relativeFrom="column">
                    <wp:posOffset>93980</wp:posOffset>
                  </wp:positionH>
                  <wp:positionV relativeFrom="paragraph">
                    <wp:posOffset>187655</wp:posOffset>
                  </wp:positionV>
                  <wp:extent cx="2571750" cy="1866900"/>
                  <wp:effectExtent l="0" t="0" r="0" b="0"/>
                  <wp:wrapNone/>
                  <wp:docPr id="2" name="グラフ 2">
                    <a:extLst xmlns:a="http://schemas.openxmlformats.org/drawingml/2006/main">
                      <a:ext uri="{FF2B5EF4-FFF2-40B4-BE49-F238E27FC236}">
                        <a16:creationId xmlns:a16="http://schemas.microsoft.com/office/drawing/2014/main" id="{DE6C0286-A409-4F91-B8E1-6CD73D5A1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r>
      <w:tr w:rsidR="007C777B" w:rsidRPr="00296EF4" w:rsidTr="007C777B">
        <w:trPr>
          <w:trHeight w:val="1117"/>
        </w:trPr>
        <w:tc>
          <w:tcPr>
            <w:tcW w:w="1134" w:type="dxa"/>
            <w:vMerge/>
            <w:tcBorders>
              <w:left w:val="single" w:sz="12" w:space="0" w:color="000000"/>
              <w:right w:val="single" w:sz="12" w:space="0" w:color="000000"/>
            </w:tcBorders>
            <w:vAlign w:val="center"/>
          </w:tcPr>
          <w:p w:rsidR="007C777B" w:rsidRPr="00296EF4" w:rsidRDefault="007C777B" w:rsidP="00866BF6">
            <w:pPr>
              <w:jc w:val="center"/>
              <w:rPr>
                <w:rFonts w:ascii="Arial" w:eastAsia="ＭＳ Ｐゴシック" w:hAnsi="Arial"/>
                <w:b/>
                <w:szCs w:val="21"/>
              </w:rPr>
            </w:pPr>
          </w:p>
        </w:tc>
        <w:tc>
          <w:tcPr>
            <w:tcW w:w="4545" w:type="dxa"/>
            <w:gridSpan w:val="2"/>
            <w:tcBorders>
              <w:top w:val="nil"/>
              <w:left w:val="single" w:sz="12" w:space="0" w:color="000000"/>
              <w:right w:val="single" w:sz="12" w:space="0" w:color="000000"/>
            </w:tcBorders>
            <w:vAlign w:val="center"/>
          </w:tcPr>
          <w:p w:rsidR="007C777B" w:rsidRPr="007C777B" w:rsidRDefault="007C777B" w:rsidP="007C777B">
            <w:pPr>
              <w:ind w:leftChars="-15" w:left="-32"/>
              <w:rPr>
                <w:rFonts w:ascii="Arial" w:eastAsia="ＭＳ Ｐゴシック" w:hAnsi="Arial"/>
              </w:rPr>
            </w:pPr>
            <w:r w:rsidRPr="007C777B">
              <w:rPr>
                <w:rFonts w:ascii="Arial" w:eastAsia="ＭＳ Ｐゴシック" w:hAnsi="Arial" w:hint="eastAsia"/>
              </w:rPr>
              <w:t>「後発医薬品の生物学的同等性試験ガイドライン」に基づき両製剤の溶出挙動は同等であると</w:t>
            </w:r>
          </w:p>
          <w:p w:rsidR="007C777B" w:rsidRDefault="007C777B" w:rsidP="007C777B">
            <w:pPr>
              <w:ind w:leftChars="-15" w:left="-32"/>
              <w:rPr>
                <w:rFonts w:ascii="Arial" w:eastAsia="ＭＳ Ｐゴシック" w:hAnsi="Arial"/>
              </w:rPr>
            </w:pPr>
            <w:r w:rsidRPr="007C777B">
              <w:rPr>
                <w:rFonts w:ascii="Arial" w:eastAsia="ＭＳ Ｐゴシック" w:hAnsi="Arial" w:hint="eastAsia"/>
              </w:rPr>
              <w:t>判断された。</w:t>
            </w:r>
          </w:p>
        </w:tc>
        <w:tc>
          <w:tcPr>
            <w:tcW w:w="4546" w:type="dxa"/>
            <w:gridSpan w:val="3"/>
            <w:tcBorders>
              <w:top w:val="nil"/>
              <w:left w:val="single" w:sz="12" w:space="0" w:color="000000"/>
              <w:right w:val="single" w:sz="12" w:space="0" w:color="000000"/>
            </w:tcBorders>
            <w:vAlign w:val="center"/>
          </w:tcPr>
          <w:p w:rsidR="007C777B" w:rsidRPr="007C777B" w:rsidRDefault="007C777B" w:rsidP="007C777B">
            <w:pPr>
              <w:ind w:leftChars="-15" w:left="-32"/>
              <w:rPr>
                <w:rFonts w:ascii="Arial" w:eastAsia="ＭＳ Ｐゴシック" w:hAnsi="Arial"/>
              </w:rPr>
            </w:pPr>
            <w:r w:rsidRPr="007C777B">
              <w:rPr>
                <w:rFonts w:ascii="Arial" w:eastAsia="ＭＳ Ｐゴシック" w:hAnsi="Arial" w:hint="eastAsia"/>
              </w:rPr>
              <w:t>無投与群を含む３群に対して、ショ糖負荷における血糖値の測定より比較検討した結果、同等</w:t>
            </w:r>
          </w:p>
          <w:p w:rsidR="007C777B" w:rsidRPr="007C777B" w:rsidRDefault="007C777B" w:rsidP="007C777B">
            <w:pPr>
              <w:ind w:leftChars="-15" w:left="-32"/>
              <w:rPr>
                <w:rFonts w:ascii="Arial" w:eastAsia="ＭＳ Ｐゴシック" w:hAnsi="Arial"/>
              </w:rPr>
            </w:pPr>
            <w:r w:rsidRPr="007C777B">
              <w:rPr>
                <w:rFonts w:ascii="Arial" w:eastAsia="ＭＳ Ｐゴシック" w:hAnsi="Arial" w:hint="eastAsia"/>
              </w:rPr>
              <w:t>であると判断された。</w:t>
            </w:r>
          </w:p>
        </w:tc>
      </w:tr>
      <w:tr w:rsidR="00F024B2" w:rsidRPr="00296EF4" w:rsidTr="008E45CF">
        <w:trPr>
          <w:trHeight w:val="670"/>
        </w:trPr>
        <w:tc>
          <w:tcPr>
            <w:tcW w:w="1134" w:type="dxa"/>
            <w:tcBorders>
              <w:left w:val="single" w:sz="12" w:space="0" w:color="000000"/>
              <w:bottom w:val="single" w:sz="12" w:space="0" w:color="000000"/>
              <w:right w:val="single" w:sz="12" w:space="0" w:color="000000"/>
            </w:tcBorders>
            <w:vAlign w:val="center"/>
          </w:tcPr>
          <w:p w:rsidR="002A7EAA" w:rsidRPr="00296EF4" w:rsidRDefault="002A7EAA" w:rsidP="00866BF6">
            <w:pPr>
              <w:jc w:val="center"/>
              <w:rPr>
                <w:rFonts w:ascii="Arial" w:eastAsia="ＭＳ Ｐゴシック" w:hAnsi="Arial"/>
              </w:rPr>
            </w:pPr>
            <w:r w:rsidRPr="00296EF4">
              <w:rPr>
                <w:rFonts w:ascii="Arial" w:eastAsia="ＭＳ Ｐゴシック" w:hAnsi="Arial" w:hint="eastAsia"/>
                <w:b/>
                <w:szCs w:val="21"/>
              </w:rPr>
              <w:t>連絡先</w:t>
            </w:r>
          </w:p>
        </w:tc>
        <w:tc>
          <w:tcPr>
            <w:tcW w:w="9091" w:type="dxa"/>
            <w:gridSpan w:val="5"/>
            <w:tcBorders>
              <w:left w:val="single" w:sz="12" w:space="0" w:color="000000"/>
              <w:bottom w:val="single" w:sz="12" w:space="0" w:color="000000"/>
              <w:right w:val="single" w:sz="12" w:space="0" w:color="000000"/>
            </w:tcBorders>
          </w:tcPr>
          <w:p w:rsidR="002A7EAA" w:rsidRPr="00296EF4" w:rsidRDefault="002A7EAA" w:rsidP="00866BF6">
            <w:pPr>
              <w:rPr>
                <w:rFonts w:ascii="Arial" w:eastAsia="ＭＳ Ｐゴシック" w:hAnsi="Arial"/>
              </w:rPr>
            </w:pPr>
          </w:p>
        </w:tc>
      </w:tr>
    </w:tbl>
    <w:p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63B" w:rsidRDefault="001A263B" w:rsidP="004739A6">
      <w:r>
        <w:separator/>
      </w:r>
    </w:p>
  </w:endnote>
  <w:endnote w:type="continuationSeparator" w:id="0">
    <w:p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63B" w:rsidRDefault="001A263B" w:rsidP="004739A6">
      <w:r>
        <w:separator/>
      </w:r>
    </w:p>
  </w:footnote>
  <w:footnote w:type="continuationSeparator" w:id="0">
    <w:p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54BFF"/>
    <w:rsid w:val="00056E38"/>
    <w:rsid w:val="00062FCC"/>
    <w:rsid w:val="000715B9"/>
    <w:rsid w:val="00072B68"/>
    <w:rsid w:val="000827DD"/>
    <w:rsid w:val="000A5D2F"/>
    <w:rsid w:val="000C1BD3"/>
    <w:rsid w:val="000E075C"/>
    <w:rsid w:val="000F75FA"/>
    <w:rsid w:val="00127179"/>
    <w:rsid w:val="00162773"/>
    <w:rsid w:val="00177ED3"/>
    <w:rsid w:val="001A263B"/>
    <w:rsid w:val="001A3F00"/>
    <w:rsid w:val="001A790E"/>
    <w:rsid w:val="001C3B22"/>
    <w:rsid w:val="001D1B86"/>
    <w:rsid w:val="001F0C62"/>
    <w:rsid w:val="001F2664"/>
    <w:rsid w:val="001F7137"/>
    <w:rsid w:val="00200B65"/>
    <w:rsid w:val="002068E8"/>
    <w:rsid w:val="002336D6"/>
    <w:rsid w:val="00236D00"/>
    <w:rsid w:val="002450E9"/>
    <w:rsid w:val="002461B0"/>
    <w:rsid w:val="00257A98"/>
    <w:rsid w:val="002743AD"/>
    <w:rsid w:val="00276D89"/>
    <w:rsid w:val="00296EF4"/>
    <w:rsid w:val="002A050E"/>
    <w:rsid w:val="002A55B3"/>
    <w:rsid w:val="002A7EAA"/>
    <w:rsid w:val="002C0647"/>
    <w:rsid w:val="002D5141"/>
    <w:rsid w:val="002D7188"/>
    <w:rsid w:val="002E2531"/>
    <w:rsid w:val="00306DFF"/>
    <w:rsid w:val="003071E9"/>
    <w:rsid w:val="00336CB1"/>
    <w:rsid w:val="00353A58"/>
    <w:rsid w:val="00374B51"/>
    <w:rsid w:val="00387D7D"/>
    <w:rsid w:val="003C3F56"/>
    <w:rsid w:val="003C41DF"/>
    <w:rsid w:val="003E19A4"/>
    <w:rsid w:val="003E6D8E"/>
    <w:rsid w:val="003E741A"/>
    <w:rsid w:val="003E772A"/>
    <w:rsid w:val="003E7803"/>
    <w:rsid w:val="003F5D63"/>
    <w:rsid w:val="004010A5"/>
    <w:rsid w:val="00415BA5"/>
    <w:rsid w:val="004462F3"/>
    <w:rsid w:val="004739A6"/>
    <w:rsid w:val="00474C7A"/>
    <w:rsid w:val="00481FFD"/>
    <w:rsid w:val="00483F97"/>
    <w:rsid w:val="004E5EAE"/>
    <w:rsid w:val="0050238E"/>
    <w:rsid w:val="00535C36"/>
    <w:rsid w:val="0055239F"/>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90532"/>
    <w:rsid w:val="006A5858"/>
    <w:rsid w:val="006B1801"/>
    <w:rsid w:val="006D0AEE"/>
    <w:rsid w:val="006F2831"/>
    <w:rsid w:val="00710D1F"/>
    <w:rsid w:val="00732D06"/>
    <w:rsid w:val="007358D5"/>
    <w:rsid w:val="007401BD"/>
    <w:rsid w:val="007447EB"/>
    <w:rsid w:val="007554BA"/>
    <w:rsid w:val="0076016A"/>
    <w:rsid w:val="00773B7E"/>
    <w:rsid w:val="007A21FD"/>
    <w:rsid w:val="007B5CF2"/>
    <w:rsid w:val="007C35B1"/>
    <w:rsid w:val="007C777B"/>
    <w:rsid w:val="007E7CA5"/>
    <w:rsid w:val="007F4583"/>
    <w:rsid w:val="007F4D06"/>
    <w:rsid w:val="00806218"/>
    <w:rsid w:val="00823F7D"/>
    <w:rsid w:val="00866BF6"/>
    <w:rsid w:val="0088574B"/>
    <w:rsid w:val="008A4614"/>
    <w:rsid w:val="008C5FB0"/>
    <w:rsid w:val="008D3191"/>
    <w:rsid w:val="008E45CF"/>
    <w:rsid w:val="008F7467"/>
    <w:rsid w:val="00902454"/>
    <w:rsid w:val="00903536"/>
    <w:rsid w:val="00904CCF"/>
    <w:rsid w:val="00915010"/>
    <w:rsid w:val="00941046"/>
    <w:rsid w:val="00944D06"/>
    <w:rsid w:val="00982180"/>
    <w:rsid w:val="009A4EF9"/>
    <w:rsid w:val="009B467C"/>
    <w:rsid w:val="009E3B3E"/>
    <w:rsid w:val="009F2C89"/>
    <w:rsid w:val="009F53A3"/>
    <w:rsid w:val="00A0792A"/>
    <w:rsid w:val="00A707E9"/>
    <w:rsid w:val="00A7188A"/>
    <w:rsid w:val="00A7329E"/>
    <w:rsid w:val="00AB57E7"/>
    <w:rsid w:val="00AC28B5"/>
    <w:rsid w:val="00AC423C"/>
    <w:rsid w:val="00AD7F87"/>
    <w:rsid w:val="00B12D30"/>
    <w:rsid w:val="00B40083"/>
    <w:rsid w:val="00B44F8B"/>
    <w:rsid w:val="00B829CA"/>
    <w:rsid w:val="00B959BE"/>
    <w:rsid w:val="00BA39CA"/>
    <w:rsid w:val="00BC67AB"/>
    <w:rsid w:val="00BE65A4"/>
    <w:rsid w:val="00BE6AD1"/>
    <w:rsid w:val="00BF46E7"/>
    <w:rsid w:val="00BF548D"/>
    <w:rsid w:val="00C0233A"/>
    <w:rsid w:val="00C03392"/>
    <w:rsid w:val="00C12FBA"/>
    <w:rsid w:val="00C176FF"/>
    <w:rsid w:val="00C27E6E"/>
    <w:rsid w:val="00C42215"/>
    <w:rsid w:val="00C52C54"/>
    <w:rsid w:val="00C64443"/>
    <w:rsid w:val="00C77654"/>
    <w:rsid w:val="00C94EF5"/>
    <w:rsid w:val="00CA142D"/>
    <w:rsid w:val="00CB4723"/>
    <w:rsid w:val="00CC1833"/>
    <w:rsid w:val="00CD3757"/>
    <w:rsid w:val="00CD52CA"/>
    <w:rsid w:val="00CE1D50"/>
    <w:rsid w:val="00CF0984"/>
    <w:rsid w:val="00D14064"/>
    <w:rsid w:val="00D2066D"/>
    <w:rsid w:val="00D402B1"/>
    <w:rsid w:val="00D517EB"/>
    <w:rsid w:val="00D6048D"/>
    <w:rsid w:val="00D76532"/>
    <w:rsid w:val="00D92DE6"/>
    <w:rsid w:val="00D932A1"/>
    <w:rsid w:val="00DD2596"/>
    <w:rsid w:val="00DE48FA"/>
    <w:rsid w:val="00DE4B91"/>
    <w:rsid w:val="00E460EA"/>
    <w:rsid w:val="00E55F26"/>
    <w:rsid w:val="00E61EAB"/>
    <w:rsid w:val="00E87059"/>
    <w:rsid w:val="00E96A69"/>
    <w:rsid w:val="00EA1402"/>
    <w:rsid w:val="00EA446D"/>
    <w:rsid w:val="00EC67C7"/>
    <w:rsid w:val="00ED23C9"/>
    <w:rsid w:val="00ED5097"/>
    <w:rsid w:val="00EE507C"/>
    <w:rsid w:val="00EF4F1B"/>
    <w:rsid w:val="00F01D77"/>
    <w:rsid w:val="00F024B2"/>
    <w:rsid w:val="00F260AF"/>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38964730000465"/>
          <c:y val="7.2917037541898308E-2"/>
          <c:w val="0.77099380328938172"/>
          <c:h val="0.69271185664803392"/>
        </c:manualLayout>
      </c:layout>
      <c:scatterChart>
        <c:scatterStyle val="lineMarker"/>
        <c:varyColors val="0"/>
        <c:ser>
          <c:idx val="0"/>
          <c:order val="0"/>
          <c:tx>
            <c:strRef>
              <c:f>'Sheet1 (2)'!$A$11</c:f>
              <c:strCache>
                <c:ptCount val="1"/>
                <c:pt idx="0">
                  <c:v>アカルボース錠100mg「BMD」</c:v>
                </c:pt>
              </c:strCache>
            </c:strRef>
          </c:tx>
          <c:spPr>
            <a:ln w="12700">
              <a:solidFill>
                <a:srgbClr val="FF0000"/>
              </a:solidFill>
              <a:prstDash val="solid"/>
            </a:ln>
          </c:spPr>
          <c:marker>
            <c:symbol val="square"/>
            <c:size val="6"/>
            <c:spPr>
              <a:solidFill>
                <a:srgbClr val="FF0000"/>
              </a:solidFill>
              <a:ln>
                <a:solidFill>
                  <a:srgbClr val="FF0000"/>
                </a:solidFill>
                <a:prstDash val="solid"/>
              </a:ln>
            </c:spPr>
          </c:marker>
          <c:xVal>
            <c:numRef>
              <c:f>'Sheet1 (2)'!$C$10:$H$10</c:f>
              <c:numCache>
                <c:formatCode>0_ </c:formatCode>
                <c:ptCount val="6"/>
                <c:pt idx="0">
                  <c:v>0</c:v>
                </c:pt>
                <c:pt idx="1">
                  <c:v>5</c:v>
                </c:pt>
                <c:pt idx="2">
                  <c:v>10</c:v>
                </c:pt>
                <c:pt idx="3">
                  <c:v>15</c:v>
                </c:pt>
                <c:pt idx="4">
                  <c:v>30</c:v>
                </c:pt>
                <c:pt idx="5">
                  <c:v>45</c:v>
                </c:pt>
              </c:numCache>
            </c:numRef>
          </c:xVal>
          <c:yVal>
            <c:numRef>
              <c:f>'Sheet1 (2)'!$C$11:$H$11</c:f>
              <c:numCache>
                <c:formatCode>0.0_ </c:formatCode>
                <c:ptCount val="6"/>
                <c:pt idx="0">
                  <c:v>0</c:v>
                </c:pt>
                <c:pt idx="1">
                  <c:v>26.2</c:v>
                </c:pt>
                <c:pt idx="2">
                  <c:v>47.2</c:v>
                </c:pt>
                <c:pt idx="3">
                  <c:v>62.3</c:v>
                </c:pt>
                <c:pt idx="4">
                  <c:v>84.2</c:v>
                </c:pt>
                <c:pt idx="5">
                  <c:v>90.7</c:v>
                </c:pt>
              </c:numCache>
            </c:numRef>
          </c:yVal>
          <c:smooth val="0"/>
          <c:extLst>
            <c:ext xmlns:c16="http://schemas.microsoft.com/office/drawing/2014/chart" uri="{C3380CC4-5D6E-409C-BE32-E72D297353CC}">
              <c16:uniqueId val="{00000000-9B1F-4C75-AB0A-86B44056FE1C}"/>
            </c:ext>
          </c:extLst>
        </c:ser>
        <c:ser>
          <c:idx val="1"/>
          <c:order val="1"/>
          <c:tx>
            <c:strRef>
              <c:f>'Sheet1 (2)'!$A$13</c:f>
              <c:strCache>
                <c:ptCount val="1"/>
                <c:pt idx="0">
                  <c:v>標準製剤</c:v>
                </c:pt>
              </c:strCache>
            </c:strRef>
          </c:tx>
          <c:spPr>
            <a:ln w="12700">
              <a:solidFill>
                <a:srgbClr val="000000"/>
              </a:solidFill>
              <a:prstDash val="solid"/>
            </a:ln>
          </c:spPr>
          <c:marker>
            <c:symbol val="circle"/>
            <c:size val="6"/>
            <c:spPr>
              <a:solidFill>
                <a:srgbClr val="000000"/>
              </a:solidFill>
              <a:ln>
                <a:solidFill>
                  <a:srgbClr val="000000"/>
                </a:solidFill>
                <a:prstDash val="solid"/>
              </a:ln>
            </c:spPr>
          </c:marker>
          <c:errBars>
            <c:errDir val="y"/>
            <c:errBarType val="both"/>
            <c:errValType val="cust"/>
            <c:noEndCap val="0"/>
            <c:plus>
              <c:numRef>
                <c:f>'Sheet1 (2)'!$C$14:$H$14</c:f>
                <c:numCache>
                  <c:formatCode>General</c:formatCode>
                  <c:ptCount val="6"/>
                  <c:pt idx="0">
                    <c:v>0</c:v>
                  </c:pt>
                  <c:pt idx="1">
                    <c:v>0</c:v>
                  </c:pt>
                  <c:pt idx="2">
                    <c:v>15</c:v>
                  </c:pt>
                  <c:pt idx="4">
                    <c:v>0</c:v>
                  </c:pt>
                  <c:pt idx="5">
                    <c:v>15</c:v>
                  </c:pt>
                </c:numCache>
              </c:numRef>
            </c:plus>
            <c:minus>
              <c:numRef>
                <c:f>'Sheet1 (2)'!$C$14:$H$14</c:f>
                <c:numCache>
                  <c:formatCode>General</c:formatCode>
                  <c:ptCount val="6"/>
                  <c:pt idx="0">
                    <c:v>0</c:v>
                  </c:pt>
                  <c:pt idx="1">
                    <c:v>0</c:v>
                  </c:pt>
                  <c:pt idx="2">
                    <c:v>15</c:v>
                  </c:pt>
                  <c:pt idx="4">
                    <c:v>0</c:v>
                  </c:pt>
                  <c:pt idx="5">
                    <c:v>15</c:v>
                  </c:pt>
                </c:numCache>
              </c:numRef>
            </c:minus>
            <c:spPr>
              <a:ln w="12700">
                <a:solidFill>
                  <a:srgbClr val="000000"/>
                </a:solidFill>
                <a:prstDash val="solid"/>
              </a:ln>
            </c:spPr>
          </c:errBars>
          <c:xVal>
            <c:numRef>
              <c:f>'Sheet1 (2)'!$C$10:$H$10</c:f>
              <c:numCache>
                <c:formatCode>0_ </c:formatCode>
                <c:ptCount val="6"/>
                <c:pt idx="0">
                  <c:v>0</c:v>
                </c:pt>
                <c:pt idx="1">
                  <c:v>5</c:v>
                </c:pt>
                <c:pt idx="2">
                  <c:v>10</c:v>
                </c:pt>
                <c:pt idx="3">
                  <c:v>15</c:v>
                </c:pt>
                <c:pt idx="4">
                  <c:v>30</c:v>
                </c:pt>
                <c:pt idx="5">
                  <c:v>45</c:v>
                </c:pt>
              </c:numCache>
            </c:numRef>
          </c:xVal>
          <c:yVal>
            <c:numRef>
              <c:f>'Sheet1 (2)'!$C$13:$H$13</c:f>
              <c:numCache>
                <c:formatCode>0.0_ </c:formatCode>
                <c:ptCount val="6"/>
                <c:pt idx="0">
                  <c:v>0</c:v>
                </c:pt>
                <c:pt idx="1">
                  <c:v>23.2</c:v>
                </c:pt>
                <c:pt idx="2">
                  <c:v>43.5</c:v>
                </c:pt>
                <c:pt idx="3">
                  <c:v>59.8</c:v>
                </c:pt>
                <c:pt idx="4">
                  <c:v>81.8</c:v>
                </c:pt>
                <c:pt idx="5">
                  <c:v>86.2</c:v>
                </c:pt>
              </c:numCache>
            </c:numRef>
          </c:yVal>
          <c:smooth val="0"/>
          <c:extLst>
            <c:ext xmlns:c16="http://schemas.microsoft.com/office/drawing/2014/chart" uri="{C3380CC4-5D6E-409C-BE32-E72D297353CC}">
              <c16:uniqueId val="{00000001-9B1F-4C75-AB0A-86B44056FE1C}"/>
            </c:ext>
          </c:extLst>
        </c:ser>
        <c:ser>
          <c:idx val="2"/>
          <c:order val="2"/>
          <c:spPr>
            <a:ln w="12700">
              <a:solidFill>
                <a:srgbClr val="FF0000"/>
              </a:solidFill>
              <a:prstDash val="solid"/>
            </a:ln>
          </c:spPr>
          <c:marker>
            <c:symbol val="square"/>
            <c:size val="6"/>
            <c:spPr>
              <a:solidFill>
                <a:srgbClr val="FF0000"/>
              </a:solidFill>
              <a:ln>
                <a:solidFill>
                  <a:srgbClr val="FF0000"/>
                </a:solidFill>
                <a:prstDash val="solid"/>
              </a:ln>
            </c:spPr>
          </c:marker>
          <c:errBars>
            <c:errDir val="y"/>
            <c:errBarType val="plus"/>
            <c:errValType val="cust"/>
            <c:noEndCap val="0"/>
            <c:plus>
              <c:numRef>
                <c:f>'Sheet1 (2)'!$C$12:$H$12</c:f>
                <c:numCache>
                  <c:formatCode>General</c:formatCode>
                  <c:ptCount val="6"/>
                  <c:pt idx="0">
                    <c:v>0</c:v>
                  </c:pt>
                  <c:pt idx="1">
                    <c:v>0</c:v>
                  </c:pt>
                  <c:pt idx="2">
                    <c:v>0</c:v>
                  </c:pt>
                  <c:pt idx="3">
                    <c:v>0</c:v>
                  </c:pt>
                  <c:pt idx="4">
                    <c:v>0</c:v>
                  </c:pt>
                  <c:pt idx="5">
                    <c:v>0</c:v>
                  </c:pt>
                </c:numCache>
              </c:numRef>
            </c:plus>
            <c:spPr>
              <a:ln w="12700">
                <a:solidFill>
                  <a:srgbClr val="FF0000"/>
                </a:solidFill>
                <a:prstDash val="solid"/>
              </a:ln>
            </c:spPr>
          </c:errBars>
          <c:xVal>
            <c:numRef>
              <c:f>'Sheet1 (2)'!$C$10:$H$10</c:f>
              <c:numCache>
                <c:formatCode>0_ </c:formatCode>
                <c:ptCount val="6"/>
                <c:pt idx="0">
                  <c:v>0</c:v>
                </c:pt>
                <c:pt idx="1">
                  <c:v>5</c:v>
                </c:pt>
                <c:pt idx="2">
                  <c:v>10</c:v>
                </c:pt>
                <c:pt idx="3">
                  <c:v>15</c:v>
                </c:pt>
                <c:pt idx="4">
                  <c:v>30</c:v>
                </c:pt>
                <c:pt idx="5">
                  <c:v>45</c:v>
                </c:pt>
              </c:numCache>
            </c:numRef>
          </c:xVal>
          <c:yVal>
            <c:numRef>
              <c:f>'Sheet1 (2)'!$C$11:$H$11</c:f>
              <c:numCache>
                <c:formatCode>0.0_ </c:formatCode>
                <c:ptCount val="6"/>
                <c:pt idx="0">
                  <c:v>0</c:v>
                </c:pt>
                <c:pt idx="1">
                  <c:v>26.2</c:v>
                </c:pt>
                <c:pt idx="2">
                  <c:v>47.2</c:v>
                </c:pt>
                <c:pt idx="3">
                  <c:v>62.3</c:v>
                </c:pt>
                <c:pt idx="4">
                  <c:v>84.2</c:v>
                </c:pt>
                <c:pt idx="5">
                  <c:v>90.7</c:v>
                </c:pt>
              </c:numCache>
            </c:numRef>
          </c:yVal>
          <c:smooth val="0"/>
          <c:extLst>
            <c:ext xmlns:c16="http://schemas.microsoft.com/office/drawing/2014/chart" uri="{C3380CC4-5D6E-409C-BE32-E72D297353CC}">
              <c16:uniqueId val="{00000002-9B1F-4C75-AB0A-86B44056FE1C}"/>
            </c:ext>
          </c:extLst>
        </c:ser>
        <c:dLbls>
          <c:showLegendKey val="0"/>
          <c:showVal val="0"/>
          <c:showCatName val="0"/>
          <c:showSerName val="0"/>
          <c:showPercent val="0"/>
          <c:showBubbleSize val="0"/>
        </c:dLbls>
        <c:axId val="424493216"/>
        <c:axId val="1"/>
      </c:scatterChart>
      <c:valAx>
        <c:axId val="424493216"/>
        <c:scaling>
          <c:orientation val="minMax"/>
          <c:max val="60"/>
        </c:scaling>
        <c:delete val="0"/>
        <c:axPos val="b"/>
        <c:title>
          <c:tx>
            <c:rich>
              <a:bodyPr/>
              <a:lstStyle/>
              <a:p>
                <a:pPr>
                  <a:defRPr sz="800" b="0" i="0" u="none" strike="noStrike" baseline="0">
                    <a:solidFill>
                      <a:srgbClr val="000000"/>
                    </a:solidFill>
                    <a:latin typeface="ＭＳ Ｐゴシック"/>
                    <a:ea typeface="ＭＳ Ｐゴシック"/>
                    <a:cs typeface="ＭＳ Ｐゴシック"/>
                  </a:defRPr>
                </a:pPr>
                <a:r>
                  <a:rPr lang="ja-JP" altLang="en-US"/>
                  <a:t>時間（分）</a:t>
                </a:r>
              </a:p>
            </c:rich>
          </c:tx>
          <c:layout>
            <c:manualLayout>
              <c:xMode val="edge"/>
              <c:yMode val="edge"/>
              <c:x val="0.46946645028150102"/>
              <c:y val="0.88542104111985998"/>
            </c:manualLayout>
          </c:layout>
          <c:overlay val="0"/>
          <c:spPr>
            <a:noFill/>
            <a:ln w="25400">
              <a:noFill/>
            </a:ln>
          </c:spPr>
        </c:title>
        <c:numFmt formatCode="0_ " sourceLinked="1"/>
        <c:majorTickMark val="in"/>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crossBetween val="midCat"/>
        <c:majorUnit val="20"/>
      </c:valAx>
      <c:valAx>
        <c:axId val="1"/>
        <c:scaling>
          <c:orientation val="minMax"/>
          <c:max val="110"/>
          <c:min val="0"/>
        </c:scaling>
        <c:delete val="0"/>
        <c:axPos val="l"/>
        <c:title>
          <c:tx>
            <c:rich>
              <a:bodyPr rot="0" vert="wordArtVertRtl"/>
              <a:lstStyle/>
              <a:p>
                <a:pPr algn="ctr">
                  <a:defRPr sz="800" b="0" i="0" u="none" strike="noStrike" baseline="0">
                    <a:solidFill>
                      <a:srgbClr val="000000"/>
                    </a:solidFill>
                    <a:latin typeface="ＭＳ Ｐゴシック"/>
                    <a:ea typeface="ＭＳ Ｐゴシック"/>
                    <a:cs typeface="ＭＳ Ｐゴシック"/>
                  </a:defRPr>
                </a:pPr>
                <a:r>
                  <a:rPr lang="ja-JP" altLang="en-US"/>
                  <a:t>溶出率（％）</a:t>
                </a:r>
              </a:p>
            </c:rich>
          </c:tx>
          <c:layout>
            <c:manualLayout>
              <c:xMode val="edge"/>
              <c:yMode val="edge"/>
              <c:x val="1.9083969465648856E-2"/>
              <c:y val="0.18750109361329834"/>
            </c:manualLayout>
          </c:layout>
          <c:overlay val="0"/>
          <c:spPr>
            <a:noFill/>
            <a:ln w="25400">
              <a:noFill/>
            </a:ln>
          </c:spPr>
        </c:title>
        <c:numFmt formatCode="0_ " sourceLinked="0"/>
        <c:majorTickMark val="in"/>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424493216"/>
        <c:crosses val="autoZero"/>
        <c:crossBetween val="midCat"/>
        <c:majorUnit val="25"/>
      </c:valAx>
      <c:spPr>
        <a:solidFill>
          <a:srgbClr val="FFFFFF"/>
        </a:solidFill>
        <a:ln w="25400">
          <a:noFill/>
        </a:ln>
      </c:spPr>
    </c:plotArea>
    <c:legend>
      <c:legendPos val="r"/>
      <c:legendEntry>
        <c:idx val="2"/>
        <c:delete val="1"/>
      </c:legendEntry>
      <c:layout>
        <c:manualLayout>
          <c:xMode val="edge"/>
          <c:yMode val="edge"/>
          <c:x val="0.35114583959447815"/>
          <c:y val="0.52778051181102359"/>
          <c:w val="0.59542104946805319"/>
          <c:h val="0.19097276902887139"/>
        </c:manualLayout>
      </c:layout>
      <c:overlay val="0"/>
      <c:spPr>
        <a:solidFill>
          <a:srgbClr val="FFFFFF"/>
        </a:solidFill>
        <a:ln w="25400">
          <a:noFill/>
        </a:ln>
      </c:spPr>
      <c:txPr>
        <a:bodyPr/>
        <a:lstStyle/>
        <a:p>
          <a:pPr>
            <a:defRPr sz="64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9525">
      <a:noFill/>
    </a:ln>
  </c:spPr>
  <c:txPr>
    <a:bodyPr/>
    <a:lstStyle/>
    <a:p>
      <a:pPr>
        <a:defRPr sz="55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66726948520502"/>
          <c:y val="8.1632856427516207E-2"/>
          <c:w val="0.76666943963194312"/>
          <c:h val="0.67857311905372852"/>
        </c:manualLayout>
      </c:layout>
      <c:scatterChart>
        <c:scatterStyle val="lineMarker"/>
        <c:varyColors val="0"/>
        <c:ser>
          <c:idx val="0"/>
          <c:order val="0"/>
          <c:tx>
            <c:v>アカルボース錠100mg「BMD」</c:v>
          </c:tx>
          <c:spPr>
            <a:ln w="12700">
              <a:solidFill>
                <a:srgbClr val="FF0000"/>
              </a:solidFill>
              <a:prstDash val="solid"/>
            </a:ln>
          </c:spPr>
          <c:marker>
            <c:symbol val="diamond"/>
            <c:size val="5"/>
            <c:spPr>
              <a:solidFill>
                <a:srgbClr val="FF0000"/>
              </a:solidFill>
              <a:ln>
                <a:solidFill>
                  <a:srgbClr val="FF0000"/>
                </a:solidFill>
                <a:prstDash val="solid"/>
              </a:ln>
            </c:spPr>
          </c:marker>
          <c:errBars>
            <c:errDir val="y"/>
            <c:errBarType val="plus"/>
            <c:errValType val="cust"/>
            <c:noEndCap val="0"/>
            <c:plus>
              <c:numRef>
                <c:f>[2]データまとめ!$O$10:$W$10</c:f>
                <c:numCache>
                  <c:formatCode>General</c:formatCode>
                  <c:ptCount val="9"/>
                  <c:pt idx="0">
                    <c:v>0</c:v>
                  </c:pt>
                  <c:pt idx="1">
                    <c:v>6.9423733419521305</c:v>
                  </c:pt>
                  <c:pt idx="2">
                    <c:v>9.5194315334255553</c:v>
                  </c:pt>
                  <c:pt idx="3">
                    <c:v>11.858528955764664</c:v>
                  </c:pt>
                  <c:pt idx="4">
                    <c:v>-12.472598537823394</c:v>
                  </c:pt>
                  <c:pt idx="5">
                    <c:v>-9.0220856291951179</c:v>
                  </c:pt>
                  <c:pt idx="6">
                    <c:v>7.0126671103083176</c:v>
                  </c:pt>
                  <c:pt idx="7">
                    <c:v>3.7837213981803171</c:v>
                  </c:pt>
                  <c:pt idx="8">
                    <c:v>1.6161061047465115</c:v>
                  </c:pt>
                </c:numCache>
              </c:numRef>
            </c:plus>
            <c:spPr>
              <a:ln w="12700">
                <a:solidFill>
                  <a:srgbClr val="FF0000"/>
                </a:solidFill>
                <a:prstDash val="solid"/>
              </a:ln>
            </c:spPr>
          </c:errBars>
          <c:xVal>
            <c:numRef>
              <c:f>[2]データまとめ!$O$6:$W$6</c:f>
              <c:numCache>
                <c:formatCode>General</c:formatCode>
                <c:ptCount val="9"/>
                <c:pt idx="0">
                  <c:v>0</c:v>
                </c:pt>
                <c:pt idx="1">
                  <c:v>0.25</c:v>
                </c:pt>
                <c:pt idx="2">
                  <c:v>0.5</c:v>
                </c:pt>
                <c:pt idx="3">
                  <c:v>0.75</c:v>
                </c:pt>
                <c:pt idx="4">
                  <c:v>1</c:v>
                </c:pt>
                <c:pt idx="5">
                  <c:v>1.5</c:v>
                </c:pt>
                <c:pt idx="6">
                  <c:v>2</c:v>
                </c:pt>
                <c:pt idx="7">
                  <c:v>3</c:v>
                </c:pt>
                <c:pt idx="8">
                  <c:v>4</c:v>
                </c:pt>
              </c:numCache>
            </c:numRef>
          </c:xVal>
          <c:yVal>
            <c:numRef>
              <c:f>[2]データまとめ!$O$9:$W$9</c:f>
              <c:numCache>
                <c:formatCode>General</c:formatCode>
                <c:ptCount val="9"/>
                <c:pt idx="0">
                  <c:v>0</c:v>
                </c:pt>
                <c:pt idx="1">
                  <c:v>7.4107142857142874</c:v>
                </c:pt>
                <c:pt idx="2">
                  <c:v>14.957142857142856</c:v>
                </c:pt>
                <c:pt idx="3">
                  <c:v>15.721428571428572</c:v>
                </c:pt>
                <c:pt idx="4">
                  <c:v>11.785714285714286</c:v>
                </c:pt>
                <c:pt idx="5">
                  <c:v>8.1107142857142858</c:v>
                </c:pt>
                <c:pt idx="6">
                  <c:v>5.6250000000000018</c:v>
                </c:pt>
                <c:pt idx="7">
                  <c:v>2.9607142857142867</c:v>
                </c:pt>
                <c:pt idx="8">
                  <c:v>0.80714285714285694</c:v>
                </c:pt>
              </c:numCache>
            </c:numRef>
          </c:yVal>
          <c:smooth val="0"/>
          <c:extLst>
            <c:ext xmlns:c16="http://schemas.microsoft.com/office/drawing/2014/chart" uri="{C3380CC4-5D6E-409C-BE32-E72D297353CC}">
              <c16:uniqueId val="{00000000-0411-4408-8997-628B7597E619}"/>
            </c:ext>
          </c:extLst>
        </c:ser>
        <c:ser>
          <c:idx val="1"/>
          <c:order val="1"/>
          <c:tx>
            <c:v>標準製剤（錠剤、100mg)</c:v>
          </c:tx>
          <c:spPr>
            <a:ln w="12700">
              <a:solidFill>
                <a:srgbClr val="000000"/>
              </a:solidFill>
              <a:prstDash val="solid"/>
            </a:ln>
          </c:spPr>
          <c:marker>
            <c:symbol val="triangle"/>
            <c:size val="5"/>
            <c:spPr>
              <a:noFill/>
              <a:ln>
                <a:solidFill>
                  <a:srgbClr val="000000"/>
                </a:solidFill>
                <a:prstDash val="solid"/>
              </a:ln>
            </c:spPr>
          </c:marker>
          <c:errBars>
            <c:errDir val="y"/>
            <c:errBarType val="plus"/>
            <c:errValType val="cust"/>
            <c:noEndCap val="0"/>
            <c:plus>
              <c:numRef>
                <c:f>[2]データまとめ!$O$14:$W$14</c:f>
                <c:numCache>
                  <c:formatCode>General</c:formatCode>
                  <c:ptCount val="9"/>
                  <c:pt idx="0">
                    <c:v>0</c:v>
                  </c:pt>
                  <c:pt idx="1">
                    <c:v>-4.7420387194677369</c:v>
                  </c:pt>
                  <c:pt idx="2">
                    <c:v>-8.2319322758820732</c:v>
                  </c:pt>
                  <c:pt idx="3">
                    <c:v>-7.9383895785309706</c:v>
                  </c:pt>
                  <c:pt idx="4">
                    <c:v>9.3075039419615422</c:v>
                  </c:pt>
                  <c:pt idx="5">
                    <c:v>9.4332148458541081</c:v>
                  </c:pt>
                  <c:pt idx="6">
                    <c:v>-8.8326085357030024</c:v>
                  </c:pt>
                  <c:pt idx="7">
                    <c:v>-3.6878106092839258</c:v>
                  </c:pt>
                  <c:pt idx="8">
                    <c:v>-1.6529074912417721</c:v>
                  </c:pt>
                </c:numCache>
              </c:numRef>
            </c:plus>
            <c:spPr>
              <a:ln w="12700">
                <a:solidFill>
                  <a:srgbClr val="000000"/>
                </a:solidFill>
                <a:prstDash val="solid"/>
              </a:ln>
            </c:spPr>
          </c:errBars>
          <c:xVal>
            <c:numRef>
              <c:f>[2]データまとめ!$O$6:$W$6</c:f>
              <c:numCache>
                <c:formatCode>General</c:formatCode>
                <c:ptCount val="9"/>
                <c:pt idx="0">
                  <c:v>0</c:v>
                </c:pt>
                <c:pt idx="1">
                  <c:v>0.25</c:v>
                </c:pt>
                <c:pt idx="2">
                  <c:v>0.5</c:v>
                </c:pt>
                <c:pt idx="3">
                  <c:v>0.75</c:v>
                </c:pt>
                <c:pt idx="4">
                  <c:v>1</c:v>
                </c:pt>
                <c:pt idx="5">
                  <c:v>1.5</c:v>
                </c:pt>
                <c:pt idx="6">
                  <c:v>2</c:v>
                </c:pt>
                <c:pt idx="7">
                  <c:v>3</c:v>
                </c:pt>
                <c:pt idx="8">
                  <c:v>4</c:v>
                </c:pt>
              </c:numCache>
            </c:numRef>
          </c:xVal>
          <c:yVal>
            <c:numRef>
              <c:f>[2]データまとめ!$O$13:$W$13</c:f>
              <c:numCache>
                <c:formatCode>General</c:formatCode>
                <c:ptCount val="9"/>
                <c:pt idx="0">
                  <c:v>0</c:v>
                </c:pt>
                <c:pt idx="1">
                  <c:v>3.6214285714285701</c:v>
                </c:pt>
                <c:pt idx="2">
                  <c:v>12.97857142857143</c:v>
                </c:pt>
                <c:pt idx="3">
                  <c:v>14.760714285714283</c:v>
                </c:pt>
                <c:pt idx="4">
                  <c:v>11.8</c:v>
                </c:pt>
                <c:pt idx="5">
                  <c:v>8.4464285714285712</c:v>
                </c:pt>
                <c:pt idx="6">
                  <c:v>5.3642857142857139</c:v>
                </c:pt>
                <c:pt idx="7">
                  <c:v>2.0928571428571425</c:v>
                </c:pt>
                <c:pt idx="8">
                  <c:v>0.56071428571428528</c:v>
                </c:pt>
              </c:numCache>
            </c:numRef>
          </c:yVal>
          <c:smooth val="0"/>
          <c:extLst>
            <c:ext xmlns:c16="http://schemas.microsoft.com/office/drawing/2014/chart" uri="{C3380CC4-5D6E-409C-BE32-E72D297353CC}">
              <c16:uniqueId val="{00000001-0411-4408-8997-628B7597E619}"/>
            </c:ext>
          </c:extLst>
        </c:ser>
        <c:ser>
          <c:idx val="2"/>
          <c:order val="2"/>
          <c:tx>
            <c:v>無投与</c:v>
          </c:tx>
          <c:spPr>
            <a:ln w="12700">
              <a:solidFill>
                <a:srgbClr val="000000"/>
              </a:solidFill>
              <a:prstDash val="solid"/>
            </a:ln>
          </c:spPr>
          <c:marker>
            <c:symbol val="triangle"/>
            <c:size val="5"/>
            <c:spPr>
              <a:solidFill>
                <a:srgbClr val="000000"/>
              </a:solidFill>
              <a:ln>
                <a:solidFill>
                  <a:srgbClr val="000000"/>
                </a:solidFill>
                <a:prstDash val="solid"/>
              </a:ln>
            </c:spPr>
          </c:marker>
          <c:errBars>
            <c:errDir val="y"/>
            <c:errBarType val="plus"/>
            <c:errValType val="cust"/>
            <c:noEndCap val="0"/>
            <c:plus>
              <c:numRef>
                <c:f>[2]データまとめ!$O$18:$W$18</c:f>
                <c:numCache>
                  <c:formatCode>General</c:formatCode>
                  <c:ptCount val="9"/>
                  <c:pt idx="0">
                    <c:v>0</c:v>
                  </c:pt>
                  <c:pt idx="1">
                    <c:v>9.6206368520568226</c:v>
                  </c:pt>
                  <c:pt idx="2">
                    <c:v>15.264139944784553</c:v>
                  </c:pt>
                  <c:pt idx="3">
                    <c:v>21.09093281697012</c:v>
                  </c:pt>
                  <c:pt idx="4">
                    <c:v>20.039073933866899</c:v>
                  </c:pt>
                  <c:pt idx="5">
                    <c:v>18.861809838145714</c:v>
                  </c:pt>
                  <c:pt idx="6">
                    <c:v>12.980176175421256</c:v>
                  </c:pt>
                  <c:pt idx="7">
                    <c:v>6.1037014964423006</c:v>
                  </c:pt>
                  <c:pt idx="8">
                    <c:v>3.4024326031602197</c:v>
                  </c:pt>
                </c:numCache>
              </c:numRef>
            </c:plus>
            <c:spPr>
              <a:ln w="12700">
                <a:solidFill>
                  <a:srgbClr val="000000"/>
                </a:solidFill>
                <a:prstDash val="solid"/>
              </a:ln>
            </c:spPr>
          </c:errBars>
          <c:xVal>
            <c:numRef>
              <c:f>[2]データまとめ!$O$6:$W$6</c:f>
              <c:numCache>
                <c:formatCode>General</c:formatCode>
                <c:ptCount val="9"/>
                <c:pt idx="0">
                  <c:v>0</c:v>
                </c:pt>
                <c:pt idx="1">
                  <c:v>0.25</c:v>
                </c:pt>
                <c:pt idx="2">
                  <c:v>0.5</c:v>
                </c:pt>
                <c:pt idx="3">
                  <c:v>0.75</c:v>
                </c:pt>
                <c:pt idx="4">
                  <c:v>1</c:v>
                </c:pt>
                <c:pt idx="5">
                  <c:v>1.5</c:v>
                </c:pt>
                <c:pt idx="6">
                  <c:v>2</c:v>
                </c:pt>
                <c:pt idx="7">
                  <c:v>3</c:v>
                </c:pt>
                <c:pt idx="8">
                  <c:v>4</c:v>
                </c:pt>
              </c:numCache>
            </c:numRef>
          </c:xVal>
          <c:yVal>
            <c:numRef>
              <c:f>[2]データまとめ!$O$17:$W$17</c:f>
              <c:numCache>
                <c:formatCode>General</c:formatCode>
                <c:ptCount val="9"/>
                <c:pt idx="0">
                  <c:v>0</c:v>
                </c:pt>
                <c:pt idx="1">
                  <c:v>27.346428571428564</c:v>
                </c:pt>
                <c:pt idx="2">
                  <c:v>39.271428571428579</c:v>
                </c:pt>
                <c:pt idx="3">
                  <c:v>31.882142857142856</c:v>
                </c:pt>
                <c:pt idx="4">
                  <c:v>23.232142857142861</c:v>
                </c:pt>
                <c:pt idx="5">
                  <c:v>12.575000000000001</c:v>
                </c:pt>
                <c:pt idx="6">
                  <c:v>9.7857142857142883</c:v>
                </c:pt>
                <c:pt idx="7">
                  <c:v>2.8035714285714293</c:v>
                </c:pt>
                <c:pt idx="8">
                  <c:v>0.78928571428571459</c:v>
                </c:pt>
              </c:numCache>
            </c:numRef>
          </c:yVal>
          <c:smooth val="0"/>
          <c:extLst>
            <c:ext xmlns:c16="http://schemas.microsoft.com/office/drawing/2014/chart" uri="{C3380CC4-5D6E-409C-BE32-E72D297353CC}">
              <c16:uniqueId val="{00000002-0411-4408-8997-628B7597E619}"/>
            </c:ext>
          </c:extLst>
        </c:ser>
        <c:dLbls>
          <c:showLegendKey val="0"/>
          <c:showVal val="0"/>
          <c:showCatName val="0"/>
          <c:showSerName val="0"/>
          <c:showPercent val="0"/>
          <c:showBubbleSize val="0"/>
        </c:dLbls>
        <c:axId val="424491248"/>
        <c:axId val="1"/>
      </c:scatterChart>
      <c:valAx>
        <c:axId val="424491248"/>
        <c:scaling>
          <c:orientation val="minMax"/>
          <c:max val="4"/>
          <c:min val="0"/>
        </c:scaling>
        <c:delete val="0"/>
        <c:axPos val="b"/>
        <c:title>
          <c:tx>
            <c:rich>
              <a:bodyPr/>
              <a:lstStyle/>
              <a:p>
                <a:pPr>
                  <a:defRPr sz="1100" b="0" i="0" u="none" strike="noStrike" baseline="0">
                    <a:solidFill>
                      <a:srgbClr val="000000"/>
                    </a:solidFill>
                    <a:latin typeface="ＭＳ Ｐゴシック"/>
                    <a:ea typeface="ＭＳ Ｐゴシック"/>
                    <a:cs typeface="ＭＳ Ｐゴシック"/>
                  </a:defRPr>
                </a:pPr>
                <a:r>
                  <a:rPr lang="ja-JP" altLang="en-US" sz="800" b="0" i="0" u="none" strike="noStrike" baseline="0">
                    <a:solidFill>
                      <a:srgbClr val="000000"/>
                    </a:solidFill>
                    <a:latin typeface="ＭＳ Ｐゴシック"/>
                    <a:ea typeface="ＭＳ Ｐゴシック"/>
                  </a:rPr>
                  <a:t>投与後時間（hr)</a:t>
                </a:r>
              </a:p>
            </c:rich>
          </c:tx>
          <c:layout>
            <c:manualLayout>
              <c:xMode val="edge"/>
              <c:yMode val="edge"/>
              <c:x val="0.40370525906483912"/>
              <c:y val="0.87755316299748232"/>
            </c:manualLayout>
          </c:layout>
          <c:overlay val="0"/>
          <c:spPr>
            <a:noFill/>
            <a:ln w="25400">
              <a:noFill/>
            </a:ln>
          </c:spPr>
        </c:title>
        <c:numFmt formatCode="0_ " sourceLinked="0"/>
        <c:majorTickMark val="in"/>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
        <c:crosses val="autoZero"/>
        <c:crossBetween val="midCat"/>
        <c:majorUnit val="1"/>
      </c:valAx>
      <c:valAx>
        <c:axId val="1"/>
        <c:scaling>
          <c:orientation val="minMax"/>
          <c:max val="60"/>
          <c:min val="0"/>
        </c:scaling>
        <c:delete val="0"/>
        <c:axPos val="l"/>
        <c:title>
          <c:tx>
            <c:rich>
              <a:bodyPr rot="0" vert="wordArtVertRtl"/>
              <a:lstStyle/>
              <a:p>
                <a:pPr algn="ctr">
                  <a:defRPr sz="800" b="0" i="0" u="none" strike="noStrike" baseline="0">
                    <a:solidFill>
                      <a:srgbClr val="000000"/>
                    </a:solidFill>
                    <a:latin typeface="ＭＳ Ｐゴシック"/>
                    <a:ea typeface="ＭＳ Ｐゴシック"/>
                    <a:cs typeface="ＭＳ Ｐゴシック"/>
                  </a:defRPr>
                </a:pPr>
                <a:r>
                  <a:rPr lang="ja-JP" altLang="en-US"/>
                  <a:t>血糖上昇量</a:t>
                </a:r>
              </a:p>
            </c:rich>
          </c:tx>
          <c:layout>
            <c:manualLayout>
              <c:xMode val="edge"/>
              <c:yMode val="edge"/>
              <c:x val="1.8518518518518517E-2"/>
              <c:y val="0.22959237238202365"/>
            </c:manualLayout>
          </c:layout>
          <c:overlay val="0"/>
          <c:spPr>
            <a:noFill/>
            <a:ln w="25400">
              <a:noFill/>
            </a:ln>
          </c:spPr>
        </c:title>
        <c:numFmt formatCode="0_ " sourceLinked="0"/>
        <c:majorTickMark val="in"/>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424491248"/>
        <c:crosses val="autoZero"/>
        <c:crossBetween val="midCat"/>
        <c:majorUnit val="10"/>
      </c:valAx>
      <c:spPr>
        <a:noFill/>
        <a:ln w="25400">
          <a:noFill/>
        </a:ln>
      </c:spPr>
    </c:plotArea>
    <c:legend>
      <c:legendPos val="r"/>
      <c:layout>
        <c:manualLayout>
          <c:xMode val="edge"/>
          <c:yMode val="edge"/>
          <c:x val="0.37407524059492564"/>
          <c:y val="2.5510204081632654E-2"/>
          <c:w val="0.57407601827549337"/>
          <c:h val="0.19387808666773795"/>
        </c:manualLayout>
      </c:layout>
      <c:overlay val="0"/>
      <c:spPr>
        <a:noFill/>
        <a:ln w="25400">
          <a:noFill/>
        </a:ln>
      </c:spPr>
      <c:txPr>
        <a:bodyPr/>
        <a:lstStyle/>
        <a:p>
          <a:pPr>
            <a:defRPr sz="64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9525">
      <a:noFill/>
    </a:ln>
  </c:spPr>
  <c:txPr>
    <a:bodyPr/>
    <a:lstStyle/>
    <a:p>
      <a:pPr>
        <a:defRPr sz="42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AA57-6679-4DF5-A297-1C7578E9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製品比較表　バルサルタン錠20mg「BMD」</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アカルボース錠100mg「BMD」</dc:title>
  <dc:creator>BIOWS27</dc:creator>
  <cp:lastModifiedBy>BIOWS27</cp:lastModifiedBy>
  <cp:revision>6</cp:revision>
  <cp:lastPrinted>2013-12-13T06:33:00Z</cp:lastPrinted>
  <dcterms:created xsi:type="dcterms:W3CDTF">2018-03-23T02:55:00Z</dcterms:created>
  <dcterms:modified xsi:type="dcterms:W3CDTF">2018-04-05T01:53:00Z</dcterms:modified>
</cp:coreProperties>
</file>