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A4" w:rsidRPr="00930E42" w:rsidRDefault="00D2066D" w:rsidP="00FF7CA4">
      <w:pPr>
        <w:spacing w:line="500" w:lineRule="exact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930E42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B3165" wp14:editId="5652AC9B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440C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B3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440C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930E42">
        <w:rPr>
          <w:rFonts w:asciiTheme="majorHAnsi" w:eastAsia="ＭＳ Ｐゴシック" w:hAnsiTheme="majorHAnsi" w:cstheme="majorHAnsi"/>
          <w:b/>
          <w:noProof/>
          <w:sz w:val="32"/>
          <w:szCs w:val="32"/>
        </w:rPr>
        <w:t>製品別比較表（案</w:t>
      </w:r>
      <w:r w:rsidR="00FF7CA4" w:rsidRPr="00930E42">
        <w:rPr>
          <w:rFonts w:asciiTheme="majorHAnsi" w:eastAsia="ＭＳ Ｐゴシック" w:hAnsiTheme="majorHAnsi" w:cstheme="majorHAnsi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930E42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30E4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930E4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30E4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</w:tc>
      </w:tr>
      <w:tr w:rsidR="00486E67" w:rsidRPr="00930E42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930E42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E1D72" w:rsidRPr="00930E42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</w:p>
          <w:p w:rsidR="00EE1A07" w:rsidRPr="00930E42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="00005F97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6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E1D72" w:rsidRPr="00930E42" w:rsidRDefault="005E1D72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  <w:r w:rsidR="005F15D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</w:p>
          <w:p w:rsidR="00EE1A07" w:rsidRPr="00930E42" w:rsidRDefault="005E1D72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="00005F97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6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 w:rsidR="009C3807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（一般名）</w:t>
            </w:r>
          </w:p>
        </w:tc>
      </w:tr>
      <w:tr w:rsidR="00930E42" w:rsidRPr="00930E42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E42" w:rsidRPr="00926284" w:rsidRDefault="00E440C6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18.1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0E42" w:rsidRPr="00926284" w:rsidRDefault="00E440C6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52.5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円／錠</w:t>
            </w:r>
          </w:p>
        </w:tc>
      </w:tr>
      <w:tr w:rsidR="00EE1A07" w:rsidRPr="00930E42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E1A07" w:rsidRPr="00930E42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錠中、「日局」フェキソフェナジン塩酸塩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930E4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0.0mg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930E42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E440C6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-377303296"/>
              </w:rPr>
              <w:t>薬</w:t>
            </w:r>
            <w:r w:rsidRPr="00E440C6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-377303296"/>
              </w:rPr>
              <w:t>効</w:t>
            </w:r>
          </w:p>
          <w:p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930E42" w:rsidRDefault="005E1D7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その他のアレルギー用薬</w:t>
            </w:r>
          </w:p>
        </w:tc>
      </w:tr>
      <w:tr w:rsidR="00E35AE2" w:rsidRPr="00930E42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30E42" w:rsidRDefault="005E1D7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アレルギー性鼻炎、蕁麻疹、皮膚疾患（湿疹・皮膚炎、皮膚そう痒症、アトピー性皮膚炎）に伴うそう痒</w:t>
            </w:r>
          </w:p>
        </w:tc>
      </w:tr>
      <w:tr w:rsidR="000651CE" w:rsidRPr="00930E42" w:rsidTr="005E1D72">
        <w:trPr>
          <w:trHeight w:val="1393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651CE" w:rsidRPr="00930E42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:rsidR="000651CE" w:rsidRPr="00930E42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E1D72" w:rsidRPr="00930E42" w:rsidRDefault="005E1D72" w:rsidP="005E1D7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回経口投与する。通常、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7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歳未満の小児にはフェキソフェナジン塩酸塩として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2 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回、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</w:t>
            </w:r>
          </w:p>
          <w:p w:rsidR="000651CE" w:rsidRPr="00930E42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なお、症状により適宜増減する。</w:t>
            </w:r>
          </w:p>
        </w:tc>
      </w:tr>
      <w:tr w:rsidR="00E35AE2" w:rsidRPr="00930E42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35AE2" w:rsidRPr="00930E42" w:rsidRDefault="00930E42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部分アルファー化デンプン、結晶セルロース、クロスカルメロースナトリウム、ステアリン酸カルシウム、ヒプロメロース、マクロゴール</w:t>
            </w: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6000</w:t>
            </w: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、酸化チタン、軽質無水ケイ酸、三二酸化鉄、黄色三二酸化鉄、カルナウバロウ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35AE2" w:rsidRPr="00930E42" w:rsidRDefault="00930E42" w:rsidP="00930E4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結晶セルロース、部分アルファー化デンプン、クロスカルメロースナトリウム、ステアリン酸マグネシウム、軽質無水ケイ酸、ヒプロメロース、ポビドン、酸化チタン、マクロゴール</w:t>
            </w: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400</w:t>
            </w: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、三二酸化鉄、黄色三二酸化鉄</w:t>
            </w:r>
          </w:p>
        </w:tc>
      </w:tr>
      <w:tr w:rsidR="00930E42" w:rsidRPr="00930E42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E440C6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1706731520"/>
              </w:rPr>
              <w:t>性</w:t>
            </w:r>
            <w:r w:rsidRPr="00E440C6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うすいだいだい色の</w:t>
            </w:r>
          </w:p>
          <w:p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ー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ティング錠</w:t>
            </w:r>
          </w:p>
          <w:p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長径・短径（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30E42" w:rsidRPr="00930E42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30E42" w:rsidRPr="00930E42" w:rsidRDefault="00930E42" w:rsidP="00930E42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30E42" w:rsidRPr="00930E42" w:rsidRDefault="00930E42" w:rsidP="00930E42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12.1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･　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3.85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206</w:t>
            </w:r>
          </w:p>
        </w:tc>
      </w:tr>
      <w:tr w:rsidR="00E35AE2" w:rsidRPr="00930E42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5AE2" w:rsidRPr="00930E42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E35AE2" w:rsidRPr="00930E42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:rsidR="00E35AE2" w:rsidRPr="00930E42" w:rsidRDefault="00930E4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09A9ABE9" wp14:editId="4D34B600">
                  <wp:simplePos x="0" y="0"/>
                  <wp:positionH relativeFrom="column">
                    <wp:posOffset>182178</wp:posOffset>
                  </wp:positionH>
                  <wp:positionV relativeFrom="paragraph">
                    <wp:posOffset>155575</wp:posOffset>
                  </wp:positionV>
                  <wp:extent cx="914400" cy="44767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:rsidR="00E35AE2" w:rsidRPr="00930E42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E35AE2" w:rsidRPr="00930E42" w:rsidRDefault="00930E4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7ABDCE5F" wp14:editId="5EA30201">
                  <wp:simplePos x="0" y="0"/>
                  <wp:positionH relativeFrom="column">
                    <wp:posOffset>232088</wp:posOffset>
                  </wp:positionH>
                  <wp:positionV relativeFrom="paragraph">
                    <wp:posOffset>151130</wp:posOffset>
                  </wp:positionV>
                  <wp:extent cx="889000" cy="439420"/>
                  <wp:effectExtent l="0" t="0" r="635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:rsidR="00E35AE2" w:rsidRPr="00930E42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E35AE2" w:rsidRPr="00930E42" w:rsidRDefault="00E35AE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:rsidR="00E35AE2" w:rsidRPr="00930E42" w:rsidRDefault="00930E4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3756B3F5" wp14:editId="14429BD2">
                  <wp:simplePos x="0" y="0"/>
                  <wp:positionH relativeFrom="column">
                    <wp:posOffset>226382</wp:posOffset>
                  </wp:positionH>
                  <wp:positionV relativeFrom="paragraph">
                    <wp:posOffset>10160</wp:posOffset>
                  </wp:positionV>
                  <wp:extent cx="882650" cy="397510"/>
                  <wp:effectExtent l="0" t="0" r="0" b="254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31"/>
                          <a:stretch/>
                        </pic:blipFill>
                        <pic:spPr bwMode="auto">
                          <a:xfrm>
                            <a:off x="0" y="0"/>
                            <a:ext cx="88265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E61" w:rsidRPr="00930E42" w:rsidTr="00624B34">
        <w:tblPrEx>
          <w:tblCellMar>
            <w:left w:w="99" w:type="dxa"/>
            <w:right w:w="99" w:type="dxa"/>
          </w:tblCellMar>
        </w:tblPrEx>
        <w:trPr>
          <w:trHeight w:val="405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溶出試験（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pH4.0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：薄めた</w:t>
            </w:r>
            <w:proofErr w:type="spellStart"/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McIlvaine</w:t>
            </w:r>
            <w:proofErr w:type="spellEnd"/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の緩衝液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（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50rpm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））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:rsidR="00EF3E61" w:rsidRPr="009B3D15" w:rsidRDefault="00EF3E61" w:rsidP="00EF3E61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ED62E4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351048</wp:posOffset>
                  </wp:positionV>
                  <wp:extent cx="2816182" cy="1923802"/>
                  <wp:effectExtent l="0" t="0" r="381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58"/>
                          <a:stretch/>
                        </pic:blipFill>
                        <pic:spPr bwMode="auto">
                          <a:xfrm>
                            <a:off x="0" y="0"/>
                            <a:ext cx="2816182" cy="192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30ED874">
                  <wp:simplePos x="0" y="0"/>
                  <wp:positionH relativeFrom="column">
                    <wp:posOffset>-25590</wp:posOffset>
                  </wp:positionH>
                  <wp:positionV relativeFrom="paragraph">
                    <wp:posOffset>113665</wp:posOffset>
                  </wp:positionV>
                  <wp:extent cx="2844000" cy="2105585"/>
                  <wp:effectExtent l="0" t="0" r="0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21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E61" w:rsidRPr="00930E42" w:rsidTr="004C0604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3E61" w:rsidRDefault="00EF3E61" w:rsidP="00EF3E61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3E61" w:rsidRDefault="00EF3E61" w:rsidP="00EF3E61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E35AE2" w:rsidRPr="00930E42" w:rsidTr="005E1D72">
        <w:trPr>
          <w:trHeight w:val="917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AE2" w:rsidRPr="00930E42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5AE2" w:rsidRPr="00930E42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05F97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123DA"/>
    <w:rsid w:val="002336D6"/>
    <w:rsid w:val="00236D00"/>
    <w:rsid w:val="002450E9"/>
    <w:rsid w:val="002461B0"/>
    <w:rsid w:val="00257A98"/>
    <w:rsid w:val="00257D33"/>
    <w:rsid w:val="002743AD"/>
    <w:rsid w:val="00276D89"/>
    <w:rsid w:val="00280BD7"/>
    <w:rsid w:val="00282AB2"/>
    <w:rsid w:val="00284556"/>
    <w:rsid w:val="00296EF4"/>
    <w:rsid w:val="002A050E"/>
    <w:rsid w:val="002A55B3"/>
    <w:rsid w:val="002A7EAA"/>
    <w:rsid w:val="002B08AE"/>
    <w:rsid w:val="002B0D70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5E1D72"/>
    <w:rsid w:val="005F15D0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84942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30E42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35AE2"/>
    <w:rsid w:val="00E440C6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3E61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D46E1C4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8423-6778-4F29-B525-7ABAEF3B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6</cp:revision>
  <cp:lastPrinted>2018-06-11T08:20:00Z</cp:lastPrinted>
  <dcterms:created xsi:type="dcterms:W3CDTF">2018-06-07T08:29:00Z</dcterms:created>
  <dcterms:modified xsi:type="dcterms:W3CDTF">2020-03-18T06:55:00Z</dcterms:modified>
</cp:coreProperties>
</file>